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4CD711" w14:textId="3F2B63E7" w:rsidR="008126B8" w:rsidRPr="00444E8D" w:rsidRDefault="00377BEE" w:rsidP="00F222C0">
      <w:pPr>
        <w:pStyle w:val="Titolo9"/>
        <w:spacing w:before="0" w:after="0" w:line="360" w:lineRule="auto"/>
        <w:jc w:val="both"/>
        <w:rPr>
          <w:rFonts w:ascii="Baskerville" w:hAnsi="Baskerville" w:cs="Segoe UI"/>
          <w:b/>
          <w:bCs/>
          <w:color w:val="000000"/>
        </w:rPr>
      </w:pPr>
      <w:r>
        <w:rPr>
          <w:rFonts w:ascii="Baskerville" w:hAnsi="Baskerville" w:cs="Segoe UI"/>
          <w:b/>
          <w:bCs/>
          <w:color w:val="000000"/>
        </w:rPr>
        <w:t xml:space="preserve">SINDACATO DEL GIUDICE DELLA PREVENZIONE SUI PRESUPPOSTI DI APPLICAZIONE DEL CONTROLLO GIUDIZIARIO VOLONTARIO AD UN’IMPRESA SOTTOPOSTA AD INTERDITTIVA ANTIMAFIA   </w:t>
      </w:r>
      <w:r w:rsidRPr="00C87826">
        <w:rPr>
          <w:rFonts w:ascii="Baskerville" w:hAnsi="Baskerville" w:cs="Segoe UI"/>
          <w:b/>
          <w:bCs/>
          <w:color w:val="000000"/>
        </w:rPr>
        <w:t xml:space="preserve">– </w:t>
      </w:r>
      <w:r>
        <w:rPr>
          <w:rFonts w:ascii="Baskerville" w:hAnsi="Baskerville" w:cs="Segoe UI"/>
          <w:b/>
          <w:bCs/>
          <w:color w:val="000000"/>
        </w:rPr>
        <w:t>CA</w:t>
      </w:r>
      <w:r w:rsidRPr="00C87826">
        <w:rPr>
          <w:rFonts w:ascii="Baskerville" w:hAnsi="Baskerville" w:cs="Segoe UI"/>
          <w:b/>
          <w:bCs/>
          <w:color w:val="000000"/>
        </w:rPr>
        <w:t>SS.</w:t>
      </w:r>
      <w:r>
        <w:rPr>
          <w:rFonts w:ascii="Baskerville" w:hAnsi="Baskerville" w:cs="Segoe UI"/>
          <w:b/>
          <w:bCs/>
          <w:color w:val="000000"/>
        </w:rPr>
        <w:t xml:space="preserve"> PEN. SS.UU. UD. 11 DICEMBRE 2025, N. 21077</w:t>
      </w:r>
    </w:p>
    <w:p w14:paraId="73E39FA8" w14:textId="77777777" w:rsidR="008126B8" w:rsidRPr="00444E8D" w:rsidRDefault="008126B8" w:rsidP="00D403E2">
      <w:pPr>
        <w:spacing w:line="360" w:lineRule="auto"/>
        <w:jc w:val="both"/>
        <w:rPr>
          <w:rFonts w:ascii="Baskerville" w:hAnsi="Baskerville" w:cs="Segoe UI"/>
          <w:b/>
          <w:bCs/>
          <w:color w:val="000000"/>
          <w:sz w:val="22"/>
          <w:szCs w:val="22"/>
        </w:rPr>
        <w:sectPr w:rsidR="008126B8" w:rsidRPr="00444E8D" w:rsidSect="00566567">
          <w:headerReference w:type="even" r:id="rId8"/>
          <w:headerReference w:type="default" r:id="rId9"/>
          <w:footerReference w:type="even" r:id="rId10"/>
          <w:footerReference w:type="default" r:id="rId11"/>
          <w:headerReference w:type="first" r:id="rId12"/>
          <w:footerReference w:type="first" r:id="rId13"/>
          <w:pgSz w:w="11906" w:h="16838"/>
          <w:pgMar w:top="1928" w:right="1134" w:bottom="1134" w:left="1134" w:header="448" w:footer="794" w:gutter="0"/>
          <w:cols w:space="708"/>
          <w:docGrid w:linePitch="360"/>
        </w:sectPr>
      </w:pPr>
    </w:p>
    <w:p w14:paraId="7E70F33A" w14:textId="77777777" w:rsidR="00FE11DD" w:rsidRPr="00444E8D" w:rsidRDefault="008C4FF7" w:rsidP="00F137FA">
      <w:pPr>
        <w:spacing w:line="360" w:lineRule="auto"/>
        <w:jc w:val="both"/>
        <w:rPr>
          <w:rFonts w:ascii="Baskerville" w:hAnsi="Baskerville" w:cs="Segoe UI"/>
          <w:color w:val="000000"/>
          <w:sz w:val="22"/>
          <w:szCs w:val="22"/>
        </w:rPr>
      </w:pPr>
      <w:r>
        <w:rPr>
          <w:noProof/>
        </w:rPr>
        <mc:AlternateContent>
          <mc:Choice Requires="wps">
            <w:drawing>
              <wp:anchor distT="4294967276" distB="4294967276" distL="114300" distR="114300" simplePos="0" relativeHeight="251657216" behindDoc="0" locked="0" layoutInCell="1" allowOverlap="1" wp14:anchorId="47950EDD" wp14:editId="3C681C83">
                <wp:simplePos x="0" y="0"/>
                <wp:positionH relativeFrom="column">
                  <wp:posOffset>15240</wp:posOffset>
                </wp:positionH>
                <wp:positionV relativeFrom="paragraph">
                  <wp:posOffset>80644</wp:posOffset>
                </wp:positionV>
                <wp:extent cx="2822575" cy="0"/>
                <wp:effectExtent l="0" t="0" r="0" b="0"/>
                <wp:wrapNone/>
                <wp:docPr id="948968864" name="Connettore d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2575" cy="0"/>
                        </a:xfrm>
                        <a:prstGeom prst="line">
                          <a:avLst/>
                        </a:prstGeom>
                        <a:noFill/>
                        <a:ln w="12700" cap="flat" cmpd="sng" algn="ctr">
                          <a:solidFill>
                            <a:srgbClr val="D8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8289E9" id="Connettore dritto 3" o:spid="_x0000_s1026" style="position:absolute;z-index:251657216;visibility:visible;mso-wrap-style:square;mso-width-percent:0;mso-height-percent:0;mso-wrap-distance-left:9pt;mso-wrap-distance-top:-56e-5mm;mso-wrap-distance-right:9pt;mso-wrap-distance-bottom:-56e-5mm;mso-position-horizontal:absolute;mso-position-horizontal-relative:text;mso-position-vertical:absolute;mso-position-vertical-relative:text;mso-width-percent:0;mso-height-percent:0;mso-width-relative:page;mso-height-relative:page" from="1.2pt,6.35pt" to="223.45pt,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" strokecolor="#d80000" strokeweight="1pt">
                <v:stroke joinstyle="miter"/>
                <o:lock v:ext="edit" shapetype="f"/>
              </v:line>
            </w:pict>
          </mc:Fallback>
        </mc:AlternateContent>
      </w:r>
    </w:p>
    <w:p w14:paraId="4E2FFA5F" w14:textId="77777777" w:rsidR="00D403E2" w:rsidRPr="00444E8D" w:rsidRDefault="00AB343C" w:rsidP="00E20179">
      <w:pPr>
        <w:spacing w:after="240" w:line="276" w:lineRule="auto"/>
        <w:jc w:val="both"/>
        <w:rPr>
          <w:rFonts w:ascii="Baskerville" w:hAnsi="Baskerville" w:cs="Segoe UI"/>
          <w:b/>
          <w:bCs/>
          <w:color w:val="000000"/>
          <w:sz w:val="22"/>
          <w:szCs w:val="22"/>
        </w:rPr>
      </w:pPr>
      <w:r w:rsidRPr="00444E8D">
        <w:rPr>
          <w:rFonts w:ascii="Baskerville" w:hAnsi="Baskerville" w:cs="Segoe UI"/>
          <w:color w:val="000000"/>
          <w:sz w:val="22"/>
          <w:szCs w:val="22"/>
        </w:rPr>
        <w:t xml:space="preserve">A cura </w:t>
      </w:r>
      <w:r w:rsidR="00D403E2" w:rsidRPr="00444E8D">
        <w:rPr>
          <w:rFonts w:ascii="Baskerville" w:hAnsi="Baskerville" w:cs="Segoe UI"/>
          <w:color w:val="000000"/>
          <w:sz w:val="22"/>
          <w:szCs w:val="22"/>
        </w:rPr>
        <w:t xml:space="preserve">di </w:t>
      </w:r>
      <w:r w:rsidR="00A775D5">
        <w:rPr>
          <w:rFonts w:ascii="Baskerville" w:hAnsi="Baskerville" w:cs="Segoe UI"/>
          <w:b/>
          <w:bCs/>
          <w:color w:val="000000"/>
          <w:sz w:val="22"/>
          <w:szCs w:val="22"/>
        </w:rPr>
        <w:t>Francesca Maria FRASSANITO</w:t>
      </w:r>
      <w:r w:rsidRPr="00444E8D">
        <w:rPr>
          <w:rStyle w:val="Rimandonotaapidipagina"/>
          <w:rFonts w:ascii="Baskerville" w:hAnsi="Baskerville" w:cs="Segoe UI"/>
          <w:b/>
          <w:bCs/>
          <w:color w:val="000000"/>
          <w:sz w:val="22"/>
          <w:szCs w:val="22"/>
          <w:vertAlign w:val="baseline"/>
        </w:rPr>
        <w:footnoteReference w:customMarkFollows="1" w:id="1"/>
        <w:t>*</w:t>
      </w:r>
    </w:p>
    <w:p w14:paraId="4DBA9EA5" w14:textId="3DED5F20" w:rsidR="00C87826" w:rsidRDefault="00AB343C" w:rsidP="00F222C0">
      <w:pPr>
        <w:pStyle w:val="Titolo1"/>
        <w:numPr>
          <w:ilvl w:val="0"/>
          <w:numId w:val="0"/>
        </w:numPr>
        <w:spacing w:before="240" w:after="120" w:line="240" w:lineRule="auto"/>
      </w:pPr>
      <w:r>
        <w:t>MASSIMA</w:t>
      </w:r>
      <w:r>
        <w:rPr>
          <w:rStyle w:val="Rimandonotaapidipagina"/>
        </w:rPr>
        <w:footnoteReference w:id="2"/>
      </w:r>
    </w:p>
    <w:p w14:paraId="0B64F48A" w14:textId="2693A65E" w:rsidR="00345F08" w:rsidRPr="002E7131" w:rsidRDefault="009252A1" w:rsidP="00F222C0">
      <w:pPr>
        <w:pStyle w:val="NormaleWeb"/>
        <w:spacing w:before="240" w:beforeAutospacing="0" w:after="120" w:afterAutospacing="0"/>
        <w:jc w:val="both"/>
        <w:rPr>
          <w:color w:val="000000"/>
        </w:rPr>
      </w:pPr>
      <w:r>
        <w:rPr>
          <w:rFonts w:ascii="Baskerville" w:hAnsi="Baskerville"/>
          <w:i/>
          <w:iCs/>
          <w:color w:val="000000"/>
          <w:sz w:val="22"/>
          <w:szCs w:val="22"/>
        </w:rPr>
        <w:t>I</w:t>
      </w:r>
      <w:r w:rsidRPr="009252A1">
        <w:rPr>
          <w:rFonts w:ascii="Baskerville" w:hAnsi="Baskerville"/>
          <w:i/>
          <w:iCs/>
          <w:color w:val="000000"/>
          <w:sz w:val="22"/>
          <w:szCs w:val="22"/>
        </w:rPr>
        <w:t>l giudice della prevenzione, cui sia stata richiesta l’applicazione del controllo previsto dall’art. 34-bis, comma 6, d.lgs. 6 settembre 2011, n. 159, preso atto dell’emissione dell’informazione antimafia interdittiva e della pendenza del relativo giudizio di impugnazione, ove accerti, nell’ambito dei compiti affidatigli, la insussistenza del pericolo di infiltrazione mafiosa in capo alla impresa richiedente, è tenuto a rigettare la richiesta stessa.</w:t>
      </w:r>
    </w:p>
    <w:p w14:paraId="59A7B2AD" w14:textId="77777777" w:rsidR="00F222C0" w:rsidRDefault="00C502A7" w:rsidP="00A05A8A">
      <w:pPr>
        <w:spacing w:before="240" w:after="120"/>
        <w:rPr>
          <w:noProof/>
        </w:rPr>
      </w:pPr>
      <w:bookmarkStart w:id="0" w:name="_Toc137288247"/>
      <w:bookmarkStart w:id="1" w:name="_Toc136426048"/>
      <w:r w:rsidRPr="00071D38">
        <w:rPr>
          <w:rFonts w:ascii="Baskerville" w:hAnsi="Baskerville"/>
          <w:b/>
          <w:bCs/>
          <w:i/>
          <w:iCs/>
          <w:sz w:val="22"/>
          <w:szCs w:val="22"/>
        </w:rPr>
        <w:t>SOMMARIO</w:t>
      </w:r>
      <w:r>
        <w:rPr>
          <w:rFonts w:ascii="Baskerville" w:hAnsi="Baskerville"/>
          <w:b/>
          <w:bCs/>
          <w:i/>
          <w:iCs/>
          <w:sz w:val="22"/>
          <w:szCs w:val="22"/>
          <w:lang w:val="en-US"/>
        </w:rPr>
        <w:fldChar w:fldCharType="begin"/>
      </w:r>
      <w:r>
        <w:rPr>
          <w:rFonts w:ascii="Baskerville" w:hAnsi="Baskerville"/>
          <w:b/>
          <w:bCs/>
          <w:i/>
          <w:iCs/>
          <w:sz w:val="22"/>
          <w:szCs w:val="22"/>
          <w:lang w:val="en-US"/>
        </w:rPr>
        <w:instrText xml:space="preserve"> TOC \o "1-3" \h \z \u</w:instrText>
      </w:r>
      <w:r w:rsidR="00F222C0">
        <w:rPr>
          <w:rFonts w:ascii="Baskerville" w:hAnsi="Baskerville"/>
          <w:b/>
          <w:bCs/>
          <w:i/>
          <w:iCs/>
          <w:sz w:val="22"/>
          <w:szCs w:val="22"/>
          <w:lang w:val="en-US"/>
        </w:rPr>
        <w:instrText xml:space="preserve"> </w:instrText>
      </w:r>
      <w:r w:rsidR="00F222C0">
        <w:rPr>
          <w:rFonts w:ascii="Baskerville" w:hAnsi="Baskerville"/>
          <w:b/>
          <w:bCs/>
          <w:i/>
          <w:iCs/>
          <w:sz w:val="22"/>
          <w:szCs w:val="22"/>
          <w:lang w:val="en-US"/>
        </w:rPr>
        <w:instrText>\</w:instrText>
      </w:r>
      <w:r w:rsidR="00F222C0">
        <w:rPr>
          <w:rFonts w:ascii="Baskerville" w:hAnsi="Baskerville"/>
          <w:b/>
          <w:bCs/>
          <w:i/>
          <w:iCs/>
          <w:sz w:val="22"/>
          <w:szCs w:val="22"/>
          <w:lang w:val="en-US"/>
        </w:rPr>
        <w:instrText xml:space="preserve">b </w:instrText>
      </w:r>
      <w:r w:rsidR="00F222C0">
        <w:rPr>
          <w:rFonts w:ascii="Baskerville" w:hAnsi="Baskerville"/>
          <w:b/>
          <w:bCs/>
          <w:i/>
          <w:iCs/>
          <w:sz w:val="22"/>
          <w:szCs w:val="22"/>
          <w:lang w:val="en-US"/>
        </w:rPr>
        <w:instrText>\</w:instrText>
      </w:r>
      <w:r w:rsidR="00F222C0">
        <w:rPr>
          <w:rFonts w:ascii="Baskerville" w:hAnsi="Baskerville"/>
          <w:b/>
          <w:bCs/>
          <w:i/>
          <w:iCs/>
          <w:sz w:val="22"/>
          <w:szCs w:val="22"/>
          <w:lang w:val="en-US"/>
        </w:rPr>
        <w:instrText>RAS_PEN_4</w:instrText>
      </w:r>
      <w:r>
        <w:rPr>
          <w:rFonts w:ascii="Baskerville" w:hAnsi="Baskerville"/>
          <w:b/>
          <w:bCs/>
          <w:i/>
          <w:iCs/>
          <w:sz w:val="22"/>
          <w:szCs w:val="22"/>
          <w:lang w:val="en-US"/>
        </w:rPr>
        <w:instrText xml:space="preserve"> </w:instrText>
      </w:r>
      <w:r>
        <w:rPr>
          <w:rFonts w:ascii="Baskerville" w:hAnsi="Baskerville"/>
          <w:b/>
          <w:bCs/>
          <w:i/>
          <w:iCs/>
          <w:sz w:val="22"/>
          <w:szCs w:val="22"/>
          <w:lang w:val="en-US"/>
        </w:rPr>
        <w:fldChar w:fldCharType="separate"/>
      </w:r>
    </w:p>
    <w:p w14:paraId="117E8EBC" w14:textId="1FC616B9" w:rsidR="00F222C0" w:rsidRDefault="00F222C0">
      <w:pPr>
        <w:pStyle w:val="Sommario1"/>
        <w:tabs>
          <w:tab w:val="left" w:pos="480"/>
        </w:tabs>
        <w:rPr>
          <w:rFonts w:asciiTheme="minorHAnsi" w:eastAsiaTheme="minorEastAsia" w:hAnsiTheme="minorHAnsi" w:cstheme="minorBidi"/>
          <w:b w:val="0"/>
          <w:bCs w:val="0"/>
          <w:iCs w:val="0"/>
          <w:noProof/>
          <w:kern w:val="2"/>
          <w:sz w:val="24"/>
          <w14:ligatures w14:val="standardContextual"/>
        </w:rPr>
      </w:pPr>
      <w:hyperlink w:anchor="_Toc236739622" w:history="1">
        <w:r w:rsidRPr="00C41006">
          <w:rPr>
            <w:rStyle w:val="Collegamentoipertestuale"/>
            <w:noProof/>
          </w:rPr>
          <w:t>1.</w:t>
        </w:r>
        <w:r>
          <w:rPr>
            <w:rFonts w:asciiTheme="minorHAnsi" w:eastAsiaTheme="minorEastAsia" w:hAnsiTheme="minorHAnsi" w:cstheme="minorBidi"/>
            <w:b w:val="0"/>
            <w:bCs w:val="0"/>
            <w:iCs w:val="0"/>
            <w:noProof/>
            <w:kern w:val="2"/>
            <w:sz w:val="24"/>
            <w14:ligatures w14:val="standardContextual"/>
          </w:rPr>
          <w:tab/>
        </w:r>
        <w:r w:rsidRPr="00C41006">
          <w:rPr>
            <w:rStyle w:val="Collegamentoipertestuale"/>
            <w:noProof/>
          </w:rPr>
          <w:t>Il fatto</w:t>
        </w:r>
        <w:r>
          <w:rPr>
            <w:noProof/>
            <w:webHidden/>
          </w:rPr>
          <w:tab/>
        </w:r>
        <w:r>
          <w:rPr>
            <w:noProof/>
            <w:webHidden/>
          </w:rPr>
          <w:fldChar w:fldCharType="begin"/>
        </w:r>
        <w:r>
          <w:rPr>
            <w:noProof/>
            <w:webHidden/>
          </w:rPr>
          <w:instrText xml:space="preserve"> PAGEREF _Toc236739622 \h </w:instrText>
        </w:r>
        <w:r>
          <w:rPr>
            <w:noProof/>
            <w:webHidden/>
          </w:rPr>
        </w:r>
        <w:r>
          <w:rPr>
            <w:noProof/>
            <w:webHidden/>
          </w:rPr>
          <w:fldChar w:fldCharType="separate"/>
        </w:r>
        <w:r>
          <w:rPr>
            <w:noProof/>
            <w:webHidden/>
          </w:rPr>
          <w:t>1</w:t>
        </w:r>
        <w:r>
          <w:rPr>
            <w:noProof/>
            <w:webHidden/>
          </w:rPr>
          <w:fldChar w:fldCharType="end"/>
        </w:r>
      </w:hyperlink>
    </w:p>
    <w:p w14:paraId="3F368DC0" w14:textId="64C740B0" w:rsidR="00F222C0" w:rsidRDefault="00F222C0">
      <w:pPr>
        <w:pStyle w:val="Sommario1"/>
        <w:tabs>
          <w:tab w:val="left" w:pos="480"/>
        </w:tabs>
        <w:rPr>
          <w:rFonts w:asciiTheme="minorHAnsi" w:eastAsiaTheme="minorEastAsia" w:hAnsiTheme="minorHAnsi" w:cstheme="minorBidi"/>
          <w:b w:val="0"/>
          <w:bCs w:val="0"/>
          <w:iCs w:val="0"/>
          <w:noProof/>
          <w:kern w:val="2"/>
          <w:sz w:val="24"/>
          <w14:ligatures w14:val="standardContextual"/>
        </w:rPr>
      </w:pPr>
      <w:hyperlink w:anchor="_Toc236739623" w:history="1">
        <w:r w:rsidRPr="00C41006">
          <w:rPr>
            <w:rStyle w:val="Collegamentoipertestuale"/>
            <w:noProof/>
          </w:rPr>
          <w:t>2.</w:t>
        </w:r>
        <w:r>
          <w:rPr>
            <w:rFonts w:asciiTheme="minorHAnsi" w:eastAsiaTheme="minorEastAsia" w:hAnsiTheme="minorHAnsi" w:cstheme="minorBidi"/>
            <w:b w:val="0"/>
            <w:bCs w:val="0"/>
            <w:iCs w:val="0"/>
            <w:noProof/>
            <w:kern w:val="2"/>
            <w:sz w:val="24"/>
            <w14:ligatures w14:val="standardContextual"/>
          </w:rPr>
          <w:tab/>
        </w:r>
        <w:r w:rsidRPr="00C41006">
          <w:rPr>
            <w:rStyle w:val="Collegamentoipertestuale"/>
            <w:noProof/>
          </w:rPr>
          <w:t>La decisone</w:t>
        </w:r>
        <w:r>
          <w:rPr>
            <w:noProof/>
            <w:webHidden/>
          </w:rPr>
          <w:tab/>
        </w:r>
        <w:r>
          <w:rPr>
            <w:noProof/>
            <w:webHidden/>
          </w:rPr>
          <w:fldChar w:fldCharType="begin"/>
        </w:r>
        <w:r>
          <w:rPr>
            <w:noProof/>
            <w:webHidden/>
          </w:rPr>
          <w:instrText xml:space="preserve"> PAGEREF _Toc236739623 \h </w:instrText>
        </w:r>
        <w:r>
          <w:rPr>
            <w:noProof/>
            <w:webHidden/>
          </w:rPr>
        </w:r>
        <w:r>
          <w:rPr>
            <w:noProof/>
            <w:webHidden/>
          </w:rPr>
          <w:fldChar w:fldCharType="separate"/>
        </w:r>
        <w:r>
          <w:rPr>
            <w:noProof/>
            <w:webHidden/>
          </w:rPr>
          <w:t>1</w:t>
        </w:r>
        <w:r>
          <w:rPr>
            <w:noProof/>
            <w:webHidden/>
          </w:rPr>
          <w:fldChar w:fldCharType="end"/>
        </w:r>
      </w:hyperlink>
    </w:p>
    <w:p w14:paraId="2AE8D538" w14:textId="45E21558" w:rsidR="00F222C0" w:rsidRDefault="00F222C0">
      <w:pPr>
        <w:pStyle w:val="Sommario1"/>
        <w:tabs>
          <w:tab w:val="left" w:pos="480"/>
        </w:tabs>
        <w:rPr>
          <w:rFonts w:asciiTheme="minorHAnsi" w:eastAsiaTheme="minorEastAsia" w:hAnsiTheme="minorHAnsi" w:cstheme="minorBidi"/>
          <w:b w:val="0"/>
          <w:bCs w:val="0"/>
          <w:iCs w:val="0"/>
          <w:noProof/>
          <w:kern w:val="2"/>
          <w:sz w:val="24"/>
          <w14:ligatures w14:val="standardContextual"/>
        </w:rPr>
      </w:pPr>
      <w:hyperlink w:anchor="_Toc236739624" w:history="1">
        <w:r w:rsidRPr="00C41006">
          <w:rPr>
            <w:rStyle w:val="Collegamentoipertestuale"/>
            <w:noProof/>
          </w:rPr>
          <w:t>3.</w:t>
        </w:r>
        <w:r>
          <w:rPr>
            <w:rFonts w:asciiTheme="minorHAnsi" w:eastAsiaTheme="minorEastAsia" w:hAnsiTheme="minorHAnsi" w:cstheme="minorBidi"/>
            <w:b w:val="0"/>
            <w:bCs w:val="0"/>
            <w:iCs w:val="0"/>
            <w:noProof/>
            <w:kern w:val="2"/>
            <w:sz w:val="24"/>
            <w14:ligatures w14:val="standardContextual"/>
          </w:rPr>
          <w:tab/>
        </w:r>
        <w:r w:rsidRPr="00C41006">
          <w:rPr>
            <w:rStyle w:val="Collegamentoipertestuale"/>
            <w:noProof/>
          </w:rPr>
          <w:t>Conclusioni</w:t>
        </w:r>
        <w:r>
          <w:rPr>
            <w:noProof/>
            <w:webHidden/>
          </w:rPr>
          <w:tab/>
        </w:r>
        <w:r>
          <w:rPr>
            <w:noProof/>
            <w:webHidden/>
          </w:rPr>
          <w:fldChar w:fldCharType="begin"/>
        </w:r>
        <w:r>
          <w:rPr>
            <w:noProof/>
            <w:webHidden/>
          </w:rPr>
          <w:instrText xml:space="preserve"> PAGEREF _Toc236739624 \h </w:instrText>
        </w:r>
        <w:r>
          <w:rPr>
            <w:noProof/>
            <w:webHidden/>
          </w:rPr>
        </w:r>
        <w:r>
          <w:rPr>
            <w:noProof/>
            <w:webHidden/>
          </w:rPr>
          <w:fldChar w:fldCharType="separate"/>
        </w:r>
        <w:r>
          <w:rPr>
            <w:noProof/>
            <w:webHidden/>
          </w:rPr>
          <w:t>3</w:t>
        </w:r>
        <w:r>
          <w:rPr>
            <w:noProof/>
            <w:webHidden/>
          </w:rPr>
          <w:fldChar w:fldCharType="end"/>
        </w:r>
      </w:hyperlink>
    </w:p>
    <w:p w14:paraId="50DD61F7" w14:textId="77777777" w:rsidR="00C502A7" w:rsidRDefault="00C502A7" w:rsidP="00A05A8A">
      <w:pPr>
        <w:spacing w:before="240" w:after="120"/>
        <w:rPr>
          <w:rFonts w:ascii="Baskerville" w:hAnsi="Baskerville"/>
          <w:b/>
          <w:bCs/>
          <w:i/>
          <w:iCs/>
          <w:sz w:val="22"/>
          <w:szCs w:val="22"/>
          <w:lang w:val="en-US"/>
        </w:rPr>
      </w:pPr>
      <w:r>
        <w:rPr>
          <w:rFonts w:ascii="Baskerville" w:hAnsi="Baskerville"/>
          <w:b/>
          <w:bCs/>
          <w:i/>
          <w:iCs/>
          <w:sz w:val="22"/>
          <w:szCs w:val="22"/>
          <w:lang w:val="en-US"/>
        </w:rPr>
        <w:fldChar w:fldCharType="end"/>
      </w:r>
      <w:r w:rsidR="008C4FF7">
        <w:rPr>
          <w:noProof/>
        </w:rPr>
        <mc:AlternateContent>
          <mc:Choice Requires="wps">
            <w:drawing>
              <wp:inline distT="0" distB="0" distL="0" distR="0" wp14:anchorId="011A9A78" wp14:editId="74A4AF01">
                <wp:extent cx="2822575" cy="635"/>
                <wp:effectExtent l="0" t="0" r="0" b="0"/>
                <wp:docPr id="1050150599" name="Connettore d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2575" cy="635"/>
                        </a:xfrm>
                        <a:prstGeom prst="line">
                          <a:avLst/>
                        </a:prstGeom>
                        <a:noFill/>
                        <a:ln w="12700" cap="flat" cmpd="sng" algn="ctr">
                          <a:solidFill>
                            <a:srgbClr val="D80000"/>
                          </a:solidFill>
                          <a:prstDash val="solid"/>
                          <a:miter lim="800000"/>
                        </a:ln>
                        <a:effectLst/>
                      </wps:spPr>
                      <wps:bodyPr/>
                    </wps:wsp>
                  </a:graphicData>
                </a:graphic>
              </wp:inline>
            </w:drawing>
          </mc:Choice>
          <mc:Fallback>
            <w:pict>
              <v:line w14:anchorId="13501A9B" id="Connettore dritto 1" o:spid="_x0000_s1026" style="visibility:visible;mso-wrap-style:square;mso-left-percent:-10001;mso-top-percent:-10001;mso-position-horizontal:absolute;mso-position-horizontal-relative:char;mso-position-vertical:absolute;mso-position-vertical-relative:line;mso-left-percent:-10001;mso-top-percent:-10001" from="0,0" to="222.2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" strokecolor="#d80000" strokeweight="1pt">
                <v:stroke joinstyle="miter"/>
                <o:lock v:ext="edit" shapetype="f"/>
                <w10:anchorlock/>
              </v:line>
            </w:pict>
          </mc:Fallback>
        </mc:AlternateContent>
      </w:r>
    </w:p>
    <w:p w14:paraId="58041A32" w14:textId="77777777" w:rsidR="00C502A7" w:rsidRDefault="00C502A7" w:rsidP="00A05A8A">
      <w:pPr>
        <w:spacing w:before="240" w:after="120"/>
        <w:rPr>
          <w:rFonts w:ascii="Baskerville" w:hAnsi="Baskerville"/>
          <w:b/>
          <w:bCs/>
          <w:i/>
          <w:iCs/>
          <w:sz w:val="22"/>
          <w:szCs w:val="22"/>
          <w:lang w:val="en-US"/>
        </w:rPr>
      </w:pPr>
    </w:p>
    <w:p w14:paraId="306DC55C" w14:textId="77777777" w:rsidR="00071D38" w:rsidRDefault="000A7D34" w:rsidP="00071D38">
      <w:pPr>
        <w:pStyle w:val="Titolo1"/>
        <w:ind w:left="357" w:hanging="357"/>
      </w:pPr>
      <w:bookmarkStart w:id="2" w:name="_Toc127219632"/>
      <w:bookmarkStart w:id="3" w:name="RAS_PEN_4"/>
      <w:bookmarkStart w:id="4" w:name="_Toc236739622"/>
      <w:bookmarkEnd w:id="0"/>
      <w:bookmarkEnd w:id="1"/>
      <w:r w:rsidRPr="00F563C5">
        <w:t>IL FATTO</w:t>
      </w:r>
      <w:bookmarkEnd w:id="4"/>
      <w:r w:rsidRPr="00F563C5">
        <w:t xml:space="preserve"> </w:t>
      </w:r>
    </w:p>
    <w:p w14:paraId="7E39220D" w14:textId="77777777" w:rsidR="000B6947" w:rsidRDefault="000B6947" w:rsidP="00F222C0">
      <w:pPr>
        <w:spacing w:line="276" w:lineRule="auto"/>
        <w:ind w:firstLine="357"/>
        <w:jc w:val="both"/>
        <w:rPr>
          <w:rFonts w:ascii="Baskerville" w:hAnsi="Baskerville"/>
          <w:sz w:val="22"/>
          <w:szCs w:val="22"/>
        </w:rPr>
      </w:pPr>
      <w:r>
        <w:rPr>
          <w:rFonts w:ascii="Baskerville" w:hAnsi="Baskerville"/>
          <w:sz w:val="22"/>
          <w:szCs w:val="22"/>
        </w:rPr>
        <w:t xml:space="preserve">La Corte d’Appello di Napoli rigettava la richiesta di ammissione al controllo giudiziario volonatario </w:t>
      </w:r>
      <w:r w:rsidRPr="00E34FA7">
        <w:rPr>
          <w:rFonts w:ascii="Baskerville" w:hAnsi="Baskerville"/>
          <w:i/>
          <w:iCs/>
          <w:sz w:val="22"/>
          <w:szCs w:val="22"/>
        </w:rPr>
        <w:t>ex</w:t>
      </w:r>
      <w:r>
        <w:rPr>
          <w:rFonts w:ascii="Baskerville" w:hAnsi="Baskerville"/>
          <w:sz w:val="22"/>
          <w:szCs w:val="22"/>
        </w:rPr>
        <w:t xml:space="preserve"> art. 34 </w:t>
      </w:r>
      <w:r w:rsidRPr="005B74B6">
        <w:rPr>
          <w:rFonts w:ascii="Baskerville" w:hAnsi="Baskerville"/>
          <w:i/>
          <w:iCs/>
          <w:sz w:val="22"/>
          <w:szCs w:val="22"/>
        </w:rPr>
        <w:t>bis</w:t>
      </w:r>
      <w:r>
        <w:rPr>
          <w:rFonts w:ascii="Baskerville" w:hAnsi="Baskerville"/>
          <w:sz w:val="22"/>
          <w:szCs w:val="22"/>
        </w:rPr>
        <w:t xml:space="preserve"> comma sei del c.d. Codice Antimafia, nell’interesse della società AL.MI. A. s.r.l. (di seguito solo “La Società”) poiché i rapporti con la criminalità</w:t>
      </w:r>
      <w:r w:rsidR="009252A1">
        <w:rPr>
          <w:rFonts w:ascii="Baskerville" w:hAnsi="Baskerville"/>
          <w:sz w:val="22"/>
          <w:szCs w:val="22"/>
        </w:rPr>
        <w:t xml:space="preserve"> organizzata</w:t>
      </w:r>
      <w:r w:rsidR="00E34FA7">
        <w:rPr>
          <w:rFonts w:ascii="Baskerville" w:hAnsi="Baskerville"/>
          <w:sz w:val="22"/>
          <w:szCs w:val="22"/>
        </w:rPr>
        <w:t xml:space="preserve">, </w:t>
      </w:r>
      <w:r w:rsidR="005B74B6">
        <w:rPr>
          <w:rFonts w:ascii="Baskerville" w:hAnsi="Baskerville"/>
          <w:sz w:val="22"/>
          <w:szCs w:val="22"/>
        </w:rPr>
        <w:t xml:space="preserve">seppur </w:t>
      </w:r>
      <w:r w:rsidR="00E34FA7">
        <w:rPr>
          <w:rFonts w:ascii="Baskerville" w:hAnsi="Baskerville"/>
          <w:sz w:val="22"/>
          <w:szCs w:val="22"/>
        </w:rPr>
        <w:t xml:space="preserve">considerati esistenti in passato, </w:t>
      </w:r>
      <w:r>
        <w:rPr>
          <w:rFonts w:ascii="Baskerville" w:hAnsi="Baskerville"/>
          <w:sz w:val="22"/>
          <w:szCs w:val="22"/>
        </w:rPr>
        <w:t xml:space="preserve">si ritevano </w:t>
      </w:r>
      <w:r w:rsidR="005B74B6">
        <w:rPr>
          <w:rFonts w:ascii="Baskerville" w:hAnsi="Baskerville"/>
          <w:sz w:val="22"/>
          <w:szCs w:val="22"/>
        </w:rPr>
        <w:t xml:space="preserve">ormai </w:t>
      </w:r>
      <w:r>
        <w:rPr>
          <w:rFonts w:ascii="Baskerville" w:hAnsi="Baskerville"/>
          <w:sz w:val="22"/>
          <w:szCs w:val="22"/>
        </w:rPr>
        <w:t>ces</w:t>
      </w:r>
      <w:r w:rsidR="005B74B6">
        <w:rPr>
          <w:rFonts w:ascii="Baskerville" w:hAnsi="Baskerville"/>
          <w:sz w:val="22"/>
          <w:szCs w:val="22"/>
        </w:rPr>
        <w:t>s</w:t>
      </w:r>
      <w:r>
        <w:rPr>
          <w:rFonts w:ascii="Baskerville" w:hAnsi="Baskerville"/>
          <w:sz w:val="22"/>
          <w:szCs w:val="22"/>
        </w:rPr>
        <w:t>ati</w:t>
      </w:r>
      <w:r w:rsidR="005B74B6">
        <w:rPr>
          <w:rFonts w:ascii="Baskerville" w:hAnsi="Baskerville"/>
          <w:sz w:val="22"/>
          <w:szCs w:val="22"/>
        </w:rPr>
        <w:t xml:space="preserve">. Ciò, secondo la Corte, avrebbe fatto venire </w:t>
      </w:r>
      <w:r>
        <w:rPr>
          <w:rFonts w:ascii="Baskerville" w:hAnsi="Baskerville"/>
          <w:sz w:val="22"/>
          <w:szCs w:val="22"/>
        </w:rPr>
        <w:t>meno il presupposto determinante dell’adesione a tale misura di prevenzione</w:t>
      </w:r>
      <w:r w:rsidR="005B74B6">
        <w:rPr>
          <w:rFonts w:ascii="Baskerville" w:hAnsi="Baskerville"/>
          <w:sz w:val="22"/>
          <w:szCs w:val="22"/>
        </w:rPr>
        <w:t xml:space="preserve">, mancando una reale necessità di “bonifica” della Società in questione. </w:t>
      </w:r>
    </w:p>
    <w:p w14:paraId="70DC3F6F" w14:textId="77777777" w:rsidR="000B6947" w:rsidRDefault="000B6947" w:rsidP="00F222C0">
      <w:pPr>
        <w:spacing w:line="276" w:lineRule="auto"/>
        <w:ind w:firstLine="357"/>
        <w:jc w:val="both"/>
        <w:rPr>
          <w:rFonts w:ascii="Baskerville" w:hAnsi="Baskerville"/>
          <w:sz w:val="22"/>
          <w:szCs w:val="22"/>
        </w:rPr>
      </w:pPr>
      <w:r>
        <w:rPr>
          <w:rFonts w:ascii="Baskerville" w:hAnsi="Baskerville"/>
          <w:sz w:val="22"/>
          <w:szCs w:val="22"/>
        </w:rPr>
        <w:t xml:space="preserve">La </w:t>
      </w:r>
      <w:r w:rsidR="005B74B6">
        <w:rPr>
          <w:rFonts w:ascii="Baskerville" w:hAnsi="Baskerville"/>
          <w:sz w:val="22"/>
          <w:szCs w:val="22"/>
        </w:rPr>
        <w:t xml:space="preserve">suddetta, quindi, proponeva </w:t>
      </w:r>
      <w:r>
        <w:rPr>
          <w:rFonts w:ascii="Baskerville" w:hAnsi="Baskerville"/>
          <w:sz w:val="22"/>
          <w:szCs w:val="22"/>
        </w:rPr>
        <w:t>ricorso per Cassazione deduce</w:t>
      </w:r>
      <w:r w:rsidR="005B74B6">
        <w:rPr>
          <w:rFonts w:ascii="Baskerville" w:hAnsi="Baskerville"/>
          <w:sz w:val="22"/>
          <w:szCs w:val="22"/>
        </w:rPr>
        <w:t>ndo</w:t>
      </w:r>
      <w:r>
        <w:rPr>
          <w:rFonts w:ascii="Baskerville" w:hAnsi="Baskerville"/>
          <w:sz w:val="22"/>
          <w:szCs w:val="22"/>
        </w:rPr>
        <w:t xml:space="preserve"> la violazione degli articoli 34 e 34 </w:t>
      </w:r>
      <w:r w:rsidRPr="009252A1">
        <w:rPr>
          <w:rFonts w:ascii="Baskerville" w:hAnsi="Baskerville"/>
          <w:i/>
          <w:iCs/>
          <w:sz w:val="22"/>
          <w:szCs w:val="22"/>
        </w:rPr>
        <w:t>bis</w:t>
      </w:r>
      <w:r>
        <w:rPr>
          <w:rFonts w:ascii="Baskerville" w:hAnsi="Baskerville"/>
          <w:sz w:val="22"/>
          <w:szCs w:val="22"/>
        </w:rPr>
        <w:t xml:space="preserve"> del D.Lgs. 159/2011e l’omessa pronuncia della Corte sui rilievi critici depositati con apposita nota. </w:t>
      </w:r>
    </w:p>
    <w:p w14:paraId="4C7A891F" w14:textId="77777777" w:rsidR="005B74B6" w:rsidRDefault="005B74B6" w:rsidP="00F222C0">
      <w:pPr>
        <w:spacing w:line="276" w:lineRule="auto"/>
        <w:ind w:firstLine="357"/>
        <w:jc w:val="both"/>
        <w:rPr>
          <w:rFonts w:ascii="Baskerville" w:hAnsi="Baskerville"/>
          <w:sz w:val="22"/>
          <w:szCs w:val="22"/>
        </w:rPr>
      </w:pPr>
      <w:r>
        <w:rPr>
          <w:rFonts w:ascii="Baskerville" w:hAnsi="Baskerville"/>
          <w:sz w:val="22"/>
          <w:szCs w:val="22"/>
        </w:rPr>
        <w:t xml:space="preserve">Secondo la ricorrente il </w:t>
      </w:r>
      <w:r w:rsidRPr="005B74B6">
        <w:rPr>
          <w:rFonts w:ascii="Baskerville" w:hAnsi="Baskerville"/>
          <w:sz w:val="22"/>
          <w:szCs w:val="22"/>
        </w:rPr>
        <w:t>controllo giudiziario volontario avrebbe natura autonoma rispetto alle altre misure di prevenzione patrimoniali</w:t>
      </w:r>
      <w:r w:rsidR="009252A1">
        <w:rPr>
          <w:rFonts w:ascii="Baskerville" w:hAnsi="Baskerville"/>
          <w:sz w:val="22"/>
          <w:szCs w:val="22"/>
        </w:rPr>
        <w:t>; d</w:t>
      </w:r>
      <w:r>
        <w:rPr>
          <w:rFonts w:ascii="Baskerville" w:hAnsi="Baskerville"/>
          <w:sz w:val="22"/>
          <w:szCs w:val="22"/>
        </w:rPr>
        <w:t>i conseguenza,</w:t>
      </w:r>
      <w:r w:rsidRPr="005B74B6">
        <w:rPr>
          <w:rFonts w:ascii="Baskerville" w:hAnsi="Baskerville"/>
          <w:sz w:val="22"/>
          <w:szCs w:val="22"/>
        </w:rPr>
        <w:t xml:space="preserve"> per accedervi</w:t>
      </w:r>
      <w:r>
        <w:rPr>
          <w:rFonts w:ascii="Baskerville" w:hAnsi="Baskerville"/>
          <w:sz w:val="22"/>
          <w:szCs w:val="22"/>
        </w:rPr>
        <w:t xml:space="preserve"> </w:t>
      </w:r>
      <w:r w:rsidR="00E34FA7">
        <w:rPr>
          <w:rFonts w:ascii="Baskerville" w:hAnsi="Baskerville"/>
          <w:sz w:val="22"/>
          <w:szCs w:val="22"/>
        </w:rPr>
        <w:t xml:space="preserve">basterebbe la valutazione condotta dal Prefetto all’atto dell’emissione dell’interdittva antimafia e </w:t>
      </w:r>
      <w:r w:rsidRPr="005B74B6">
        <w:rPr>
          <w:rFonts w:ascii="Baskerville" w:hAnsi="Baskerville"/>
          <w:sz w:val="22"/>
          <w:szCs w:val="22"/>
        </w:rPr>
        <w:t>non sarebbe</w:t>
      </w:r>
      <w:r w:rsidR="00E34FA7">
        <w:rPr>
          <w:rFonts w:ascii="Baskerville" w:hAnsi="Baskerville"/>
          <w:sz w:val="22"/>
          <w:szCs w:val="22"/>
        </w:rPr>
        <w:t xml:space="preserve"> </w:t>
      </w:r>
      <w:r w:rsidRPr="005B74B6">
        <w:rPr>
          <w:rFonts w:ascii="Baskerville" w:hAnsi="Baskerville"/>
          <w:sz w:val="22"/>
          <w:szCs w:val="22"/>
        </w:rPr>
        <w:t>necessario accertare nuovamente il pericolo concreto di infiltrazione mafiosa</w:t>
      </w:r>
      <w:r w:rsidR="00E34FA7">
        <w:rPr>
          <w:rFonts w:ascii="Baskerville" w:hAnsi="Baskerville"/>
          <w:sz w:val="22"/>
          <w:szCs w:val="22"/>
        </w:rPr>
        <w:t xml:space="preserve">. Pertanto, </w:t>
      </w:r>
      <w:r>
        <w:rPr>
          <w:rFonts w:ascii="Baskerville" w:hAnsi="Baskerville"/>
          <w:sz w:val="22"/>
          <w:szCs w:val="22"/>
        </w:rPr>
        <w:t xml:space="preserve">una </w:t>
      </w:r>
      <w:r w:rsidRPr="005B74B6">
        <w:rPr>
          <w:rFonts w:ascii="Baskerville" w:hAnsi="Baskerville"/>
          <w:sz w:val="22"/>
          <w:szCs w:val="22"/>
        </w:rPr>
        <w:t>volta</w:t>
      </w:r>
      <w:r w:rsidR="00E34FA7">
        <w:rPr>
          <w:rFonts w:ascii="Baskerville" w:hAnsi="Baskerville"/>
          <w:sz w:val="22"/>
          <w:szCs w:val="22"/>
        </w:rPr>
        <w:t xml:space="preserve"> </w:t>
      </w:r>
      <w:r w:rsidRPr="005B74B6">
        <w:rPr>
          <w:rFonts w:ascii="Baskerville" w:hAnsi="Baskerville"/>
          <w:sz w:val="22"/>
          <w:szCs w:val="22"/>
        </w:rPr>
        <w:t xml:space="preserve">proposta impugnazione </w:t>
      </w:r>
      <w:r w:rsidR="00E34FA7">
        <w:rPr>
          <w:rFonts w:ascii="Baskerville" w:hAnsi="Baskerville"/>
          <w:sz w:val="22"/>
          <w:szCs w:val="22"/>
        </w:rPr>
        <w:t xml:space="preserve">all’interdittiva </w:t>
      </w:r>
      <w:r w:rsidRPr="005B74B6">
        <w:rPr>
          <w:rFonts w:ascii="Baskerville" w:hAnsi="Baskerville"/>
          <w:sz w:val="22"/>
          <w:szCs w:val="22"/>
        </w:rPr>
        <w:t>davanti al giudice amministrativo, il giudice della prevenzione dovrebbe limitarsi a verificare se l’impresa sia effettivamente bonificabile, senza rimettere in discussione l’accertamento già compiuto dal Prefetto.</w:t>
      </w:r>
    </w:p>
    <w:p w14:paraId="161AE06D" w14:textId="61F506F0" w:rsidR="00F222C0" w:rsidRDefault="005B74B6" w:rsidP="00F222C0">
      <w:pPr>
        <w:spacing w:line="276" w:lineRule="auto"/>
        <w:ind w:firstLine="357"/>
        <w:jc w:val="both"/>
        <w:rPr>
          <w:rFonts w:ascii="Baskerville" w:hAnsi="Baskerville"/>
          <w:sz w:val="22"/>
          <w:szCs w:val="22"/>
        </w:rPr>
      </w:pPr>
      <w:r>
        <w:rPr>
          <w:rFonts w:ascii="Baskerville" w:hAnsi="Baskerville"/>
          <w:sz w:val="22"/>
          <w:szCs w:val="22"/>
        </w:rPr>
        <w:t xml:space="preserve">Data la presenza di orientamenti </w:t>
      </w:r>
      <w:r w:rsidR="00914674">
        <w:rPr>
          <w:rFonts w:ascii="Baskerville" w:hAnsi="Baskerville"/>
          <w:sz w:val="22"/>
          <w:szCs w:val="22"/>
        </w:rPr>
        <w:t>contrastanti</w:t>
      </w:r>
      <w:r>
        <w:rPr>
          <w:rFonts w:ascii="Baskerville" w:hAnsi="Baskerville"/>
          <w:sz w:val="22"/>
          <w:szCs w:val="22"/>
        </w:rPr>
        <w:t xml:space="preserve"> in seno alla Suprema Corte, la questione in oggetto veniva rimessa alle Sezioni Unite. </w:t>
      </w:r>
      <w:r w:rsidR="00260B62">
        <w:rPr>
          <w:rFonts w:ascii="Baskerville" w:hAnsi="Baskerville"/>
          <w:sz w:val="22"/>
          <w:szCs w:val="22"/>
        </w:rPr>
        <w:t>Infatti, un</w:t>
      </w:r>
      <w:r w:rsidR="00914674">
        <w:rPr>
          <w:rFonts w:ascii="Baskerville" w:hAnsi="Baskerville"/>
          <w:sz w:val="22"/>
          <w:szCs w:val="22"/>
        </w:rPr>
        <w:t xml:space="preserve"> primo indirizzo riportava la necessità che il giudice della </w:t>
      </w:r>
      <w:r w:rsidR="00E34FA7">
        <w:rPr>
          <w:rFonts w:ascii="Baskerville" w:hAnsi="Baskerville"/>
          <w:sz w:val="22"/>
          <w:szCs w:val="22"/>
        </w:rPr>
        <w:t>prevenzione</w:t>
      </w:r>
      <w:r w:rsidR="00914674">
        <w:rPr>
          <w:rFonts w:ascii="Baskerville" w:hAnsi="Baskerville"/>
          <w:sz w:val="22"/>
          <w:szCs w:val="22"/>
        </w:rPr>
        <w:t xml:space="preserve"> svolgesse una verifica piena </w:t>
      </w:r>
      <w:r w:rsidRPr="005B74B6">
        <w:rPr>
          <w:rFonts w:ascii="Baskerville" w:hAnsi="Baskerville"/>
          <w:sz w:val="22"/>
          <w:szCs w:val="22"/>
        </w:rPr>
        <w:t xml:space="preserve">anche </w:t>
      </w:r>
      <w:r w:rsidR="00914674">
        <w:rPr>
          <w:rFonts w:ascii="Baskerville" w:hAnsi="Baskerville"/>
          <w:sz w:val="22"/>
          <w:szCs w:val="22"/>
        </w:rPr>
        <w:t>nell’ipotesi in cui</w:t>
      </w:r>
      <w:r w:rsidRPr="005B74B6">
        <w:rPr>
          <w:rFonts w:ascii="Baskerville" w:hAnsi="Baskerville"/>
          <w:sz w:val="22"/>
          <w:szCs w:val="22"/>
        </w:rPr>
        <w:t xml:space="preserve"> il controllo giudiziario </w:t>
      </w:r>
      <w:r w:rsidR="00914674">
        <w:rPr>
          <w:rFonts w:ascii="Baskerville" w:hAnsi="Baskerville"/>
          <w:sz w:val="22"/>
          <w:szCs w:val="22"/>
        </w:rPr>
        <w:t>venisse</w:t>
      </w:r>
      <w:r w:rsidRPr="005B74B6">
        <w:rPr>
          <w:rFonts w:ascii="Baskerville" w:hAnsi="Baskerville"/>
          <w:sz w:val="22"/>
          <w:szCs w:val="22"/>
        </w:rPr>
        <w:t xml:space="preserve"> richiesto volontariamente dall’impresa</w:t>
      </w:r>
      <w:r w:rsidR="00260B62">
        <w:rPr>
          <w:rFonts w:ascii="Baskerville" w:hAnsi="Baskerville"/>
          <w:sz w:val="22"/>
          <w:szCs w:val="22"/>
        </w:rPr>
        <w:t xml:space="preserve"> e indipendente dalle valutazioni condotte dal Prefetto</w:t>
      </w:r>
      <w:r w:rsidR="00914674">
        <w:rPr>
          <w:rFonts w:ascii="Baskerville" w:hAnsi="Baskerville"/>
          <w:sz w:val="22"/>
          <w:szCs w:val="22"/>
        </w:rPr>
        <w:t>.</w:t>
      </w:r>
      <w:r w:rsidR="00E34FA7">
        <w:rPr>
          <w:rFonts w:ascii="Baskerville" w:hAnsi="Baskerville"/>
          <w:sz w:val="22"/>
          <w:szCs w:val="22"/>
        </w:rPr>
        <w:t xml:space="preserve"> </w:t>
      </w:r>
      <w:r w:rsidR="00914674">
        <w:rPr>
          <w:rFonts w:ascii="Baskerville" w:hAnsi="Baskerville"/>
          <w:sz w:val="22"/>
          <w:szCs w:val="22"/>
        </w:rPr>
        <w:t xml:space="preserve">Tale accertamento si ritieva dovesse essere volto ad individuare </w:t>
      </w:r>
      <w:r w:rsidRPr="005B74B6">
        <w:rPr>
          <w:rFonts w:ascii="Baskerville" w:hAnsi="Baskerville"/>
          <w:sz w:val="22"/>
          <w:szCs w:val="22"/>
        </w:rPr>
        <w:t>un pericolo attuale d</w:t>
      </w:r>
      <w:r w:rsidR="00260B62">
        <w:rPr>
          <w:rFonts w:ascii="Baskerville" w:hAnsi="Baskerville"/>
          <w:sz w:val="22"/>
          <w:szCs w:val="22"/>
        </w:rPr>
        <w:t>’</w:t>
      </w:r>
      <w:r w:rsidRPr="005B74B6">
        <w:rPr>
          <w:rFonts w:ascii="Baskerville" w:hAnsi="Baskerville"/>
          <w:sz w:val="22"/>
          <w:szCs w:val="22"/>
        </w:rPr>
        <w:t>infiltrazione mafiosa</w:t>
      </w:r>
      <w:r w:rsidR="00914674">
        <w:rPr>
          <w:rFonts w:ascii="Baskerville" w:hAnsi="Baskerville"/>
          <w:sz w:val="22"/>
          <w:szCs w:val="22"/>
        </w:rPr>
        <w:t xml:space="preserve"> </w:t>
      </w:r>
      <w:r w:rsidR="00260B62">
        <w:rPr>
          <w:rFonts w:ascii="Baskerville" w:hAnsi="Baskerville"/>
          <w:sz w:val="22"/>
          <w:szCs w:val="22"/>
        </w:rPr>
        <w:t xml:space="preserve">al momento della richeista di applicazione della misura. Il giudice che avesse ritenuto sussitente tale pericolo, avrebbe dovuto attuare una </w:t>
      </w:r>
      <w:r w:rsidR="00914674">
        <w:rPr>
          <w:rFonts w:ascii="Baskerville" w:hAnsi="Baskerville"/>
          <w:sz w:val="22"/>
          <w:szCs w:val="22"/>
        </w:rPr>
        <w:t xml:space="preserve">valutazione circa l’occasionalità di tale condotta e la possibilità che </w:t>
      </w:r>
      <w:r w:rsidR="00E34FA7">
        <w:rPr>
          <w:rFonts w:ascii="Baskerville" w:hAnsi="Baskerville"/>
          <w:sz w:val="22"/>
          <w:szCs w:val="22"/>
        </w:rPr>
        <w:t>l’</w:t>
      </w:r>
      <w:r w:rsidR="00914674">
        <w:rPr>
          <w:rFonts w:ascii="Baskerville" w:hAnsi="Baskerville"/>
          <w:sz w:val="22"/>
          <w:szCs w:val="22"/>
        </w:rPr>
        <w:t>impresa venisse risanata. Il secondo orientamento, posto in evidente contrasto con il primo, portava a statuire che in</w:t>
      </w:r>
      <w:r w:rsidRPr="005B74B6">
        <w:rPr>
          <w:rFonts w:ascii="Baskerville" w:hAnsi="Baskerville"/>
          <w:sz w:val="22"/>
          <w:szCs w:val="22"/>
        </w:rPr>
        <w:t xml:space="preserve"> presenza di un’interdittiva antimafia già adottata dal Prefetto, il giudice della prevenzione </w:t>
      </w:r>
      <w:r w:rsidR="00914674">
        <w:rPr>
          <w:rFonts w:ascii="Baskerville" w:hAnsi="Baskerville"/>
          <w:sz w:val="22"/>
          <w:szCs w:val="22"/>
        </w:rPr>
        <w:t xml:space="preserve">avrebbe dovuto predere per assodata la sussitenza di condizioni inflintranti </w:t>
      </w:r>
      <w:r w:rsidRPr="005B74B6">
        <w:rPr>
          <w:rFonts w:ascii="Baskerville" w:hAnsi="Baskerville"/>
          <w:sz w:val="22"/>
          <w:szCs w:val="22"/>
        </w:rPr>
        <w:t>e concentrarsi soltanto sulla possibilità di recupero dell’impresa.</w:t>
      </w:r>
    </w:p>
    <w:p w14:paraId="468BC97E" w14:textId="77777777" w:rsidR="000B6947" w:rsidRPr="000B6947" w:rsidRDefault="000B6947" w:rsidP="000B6947">
      <w:pPr>
        <w:jc w:val="both"/>
      </w:pPr>
    </w:p>
    <w:p w14:paraId="7BBDC2DB" w14:textId="77777777" w:rsidR="00D56149" w:rsidRDefault="00E838F8" w:rsidP="00D56149">
      <w:pPr>
        <w:pStyle w:val="Titolo1"/>
        <w:ind w:left="357" w:hanging="357"/>
      </w:pPr>
      <w:bookmarkStart w:id="5" w:name="_Toc236739623"/>
      <w:bookmarkEnd w:id="2"/>
      <w:r>
        <w:t>LA DECISONE</w:t>
      </w:r>
      <w:bookmarkEnd w:id="5"/>
      <w:r>
        <w:t xml:space="preserve"> </w:t>
      </w:r>
    </w:p>
    <w:p w14:paraId="39E954D4" w14:textId="77777777" w:rsidR="0018141B" w:rsidRDefault="0018141B" w:rsidP="00F222C0">
      <w:pPr>
        <w:spacing w:line="276" w:lineRule="auto"/>
        <w:ind w:firstLine="357"/>
        <w:jc w:val="both"/>
        <w:rPr>
          <w:rFonts w:ascii="Baskerville" w:hAnsi="Baskerville"/>
          <w:sz w:val="22"/>
          <w:szCs w:val="22"/>
        </w:rPr>
      </w:pPr>
      <w:r>
        <w:rPr>
          <w:rFonts w:ascii="Baskerville" w:hAnsi="Baskerville"/>
          <w:sz w:val="22"/>
          <w:szCs w:val="22"/>
        </w:rPr>
        <w:t>Il</w:t>
      </w:r>
      <w:r w:rsidRPr="0018141B">
        <w:rPr>
          <w:rFonts w:ascii="Baskerville" w:hAnsi="Baskerville"/>
          <w:sz w:val="22"/>
          <w:szCs w:val="22"/>
        </w:rPr>
        <w:t xml:space="preserve"> nodo giuridico sottoposto alle Sezioni Unite riguarda l’ampiezza del potere valutativo del </w:t>
      </w:r>
      <w:r w:rsidRPr="0018141B">
        <w:rPr>
          <w:rFonts w:ascii="Baskerville" w:hAnsi="Baskerville"/>
          <w:sz w:val="22"/>
          <w:szCs w:val="22"/>
        </w:rPr>
        <w:lastRenderedPageBreak/>
        <w:t xml:space="preserve">giudice della prevenzione. In particolare, si tratta di stabilire se, davanti alla richiesta dell’impresa colpita da interdittiva antimafia, il giudice </w:t>
      </w:r>
      <w:r w:rsidR="00260B62">
        <w:rPr>
          <w:rFonts w:ascii="Baskerville" w:hAnsi="Baskerville"/>
          <w:sz w:val="22"/>
          <w:szCs w:val="22"/>
        </w:rPr>
        <w:t>debba</w:t>
      </w:r>
      <w:r w:rsidRPr="0018141B">
        <w:rPr>
          <w:rFonts w:ascii="Baskerville" w:hAnsi="Baskerville"/>
          <w:sz w:val="22"/>
          <w:szCs w:val="22"/>
        </w:rPr>
        <w:t xml:space="preserve"> limitarsi a prendere atto del provvedimento prefettizio e verificare soltanto la possibilità di risanare l’impresa, oppure se </w:t>
      </w:r>
      <w:r w:rsidR="00260B62">
        <w:rPr>
          <w:rFonts w:ascii="Baskerville" w:hAnsi="Baskerville"/>
          <w:sz w:val="22"/>
          <w:szCs w:val="22"/>
        </w:rPr>
        <w:t>egli sia tenuto ad</w:t>
      </w:r>
      <w:r w:rsidRPr="0018141B">
        <w:rPr>
          <w:rFonts w:ascii="Baskerville" w:hAnsi="Baskerville"/>
          <w:sz w:val="22"/>
          <w:szCs w:val="22"/>
        </w:rPr>
        <w:t xml:space="preserve"> accertare autonomamente l’effettiva sussistenza di un pericolo attuale d</w:t>
      </w:r>
      <w:r w:rsidR="00260B62">
        <w:rPr>
          <w:rFonts w:ascii="Baskerville" w:hAnsi="Baskerville"/>
          <w:sz w:val="22"/>
          <w:szCs w:val="22"/>
        </w:rPr>
        <w:t>’</w:t>
      </w:r>
      <w:r w:rsidRPr="0018141B">
        <w:rPr>
          <w:rFonts w:ascii="Baskerville" w:hAnsi="Baskerville"/>
          <w:sz w:val="22"/>
          <w:szCs w:val="22"/>
        </w:rPr>
        <w:t>infiltrazione mafiosa.</w:t>
      </w:r>
    </w:p>
    <w:p w14:paraId="476819DD" w14:textId="77777777" w:rsidR="00D92DF7" w:rsidRDefault="0018141B" w:rsidP="00F222C0">
      <w:pPr>
        <w:spacing w:line="276" w:lineRule="auto"/>
        <w:ind w:firstLine="357"/>
        <w:jc w:val="both"/>
        <w:rPr>
          <w:rFonts w:ascii="Baskerville" w:hAnsi="Baskerville"/>
          <w:sz w:val="22"/>
          <w:szCs w:val="22"/>
        </w:rPr>
      </w:pPr>
      <w:r>
        <w:rPr>
          <w:rFonts w:ascii="Baskerville" w:hAnsi="Baskerville"/>
          <w:sz w:val="22"/>
          <w:szCs w:val="22"/>
        </w:rPr>
        <w:t xml:space="preserve">Per poter dare risposta a tale quesito interpetretativo le Sezioni Unite partono con il ricostruire la natura del controllo giudiziario volontario, il quale, pur essendo richiesto dall’impresa destinataria, resta una misura di prevenzione patrimoniale che, di conseguenza, presuppone sempre una situazione di pericolosità da contenere o da correggere. La funzione del controllo giudiziario volontario non è quella di garantire la </w:t>
      </w:r>
      <w:r w:rsidR="003A3A31">
        <w:rPr>
          <w:rFonts w:ascii="Baskerville" w:hAnsi="Baskerville"/>
          <w:sz w:val="22"/>
          <w:szCs w:val="22"/>
        </w:rPr>
        <w:t>continuità</w:t>
      </w:r>
      <w:r>
        <w:rPr>
          <w:rFonts w:ascii="Baskerville" w:hAnsi="Baskerville"/>
          <w:sz w:val="22"/>
          <w:szCs w:val="22"/>
        </w:rPr>
        <w:t xml:space="preserve"> dell’operatività d</w:t>
      </w:r>
      <w:r w:rsidR="00260B62">
        <w:rPr>
          <w:rFonts w:ascii="Baskerville" w:hAnsi="Baskerville"/>
          <w:sz w:val="22"/>
          <w:szCs w:val="22"/>
        </w:rPr>
        <w:t xml:space="preserve">ella società </w:t>
      </w:r>
      <w:r>
        <w:rPr>
          <w:rFonts w:ascii="Baskerville" w:hAnsi="Baskerville"/>
          <w:sz w:val="22"/>
          <w:szCs w:val="22"/>
        </w:rPr>
        <w:t xml:space="preserve">destinataria della misura interdittiva, </w:t>
      </w:r>
      <w:r w:rsidR="00D92DF7">
        <w:rPr>
          <w:rFonts w:ascii="Baskerville" w:hAnsi="Baskerville"/>
          <w:sz w:val="22"/>
          <w:szCs w:val="22"/>
        </w:rPr>
        <w:t>ma è</w:t>
      </w:r>
      <w:r w:rsidR="00D92DF7" w:rsidRPr="00D92DF7">
        <w:rPr>
          <w:rFonts w:ascii="Baskerville" w:hAnsi="Baskerville"/>
          <w:sz w:val="22"/>
          <w:szCs w:val="22"/>
        </w:rPr>
        <w:t xml:space="preserve"> quella di favorire il recupero di un’impresa che presenti un rischio d</w:t>
      </w:r>
      <w:r w:rsidR="003A3A31">
        <w:rPr>
          <w:rFonts w:ascii="Baskerville" w:hAnsi="Baskerville"/>
          <w:sz w:val="22"/>
          <w:szCs w:val="22"/>
        </w:rPr>
        <w:t xml:space="preserve">’inflietrazione </w:t>
      </w:r>
      <w:r w:rsidR="00D92DF7" w:rsidRPr="00D92DF7">
        <w:rPr>
          <w:rFonts w:ascii="Baskerville" w:hAnsi="Baskerville"/>
          <w:sz w:val="22"/>
          <w:szCs w:val="22"/>
        </w:rPr>
        <w:t>mafio</w:t>
      </w:r>
      <w:r w:rsidR="003A3A31">
        <w:rPr>
          <w:rFonts w:ascii="Baskerville" w:hAnsi="Baskerville"/>
          <w:sz w:val="22"/>
          <w:szCs w:val="22"/>
        </w:rPr>
        <w:t>sa</w:t>
      </w:r>
      <w:r w:rsidR="00D92DF7" w:rsidRPr="00D92DF7">
        <w:rPr>
          <w:rFonts w:ascii="Baskerville" w:hAnsi="Baskerville"/>
          <w:sz w:val="22"/>
          <w:szCs w:val="22"/>
        </w:rPr>
        <w:t xml:space="preserve"> occasionale, attuale ed emendabile.</w:t>
      </w:r>
      <w:r w:rsidR="00D92DF7">
        <w:rPr>
          <w:rFonts w:ascii="Baskerville" w:hAnsi="Baskerville"/>
          <w:sz w:val="22"/>
          <w:szCs w:val="22"/>
        </w:rPr>
        <w:t xml:space="preserve"> Ciò posto, la misura </w:t>
      </w:r>
      <w:r w:rsidR="00260B62">
        <w:rPr>
          <w:rFonts w:ascii="Baskerville" w:hAnsi="Baskerville"/>
          <w:sz w:val="22"/>
          <w:szCs w:val="22"/>
        </w:rPr>
        <w:t>risulta</w:t>
      </w:r>
      <w:r w:rsidR="00D92DF7">
        <w:rPr>
          <w:rFonts w:ascii="Baskerville" w:hAnsi="Baskerville"/>
          <w:sz w:val="22"/>
          <w:szCs w:val="22"/>
        </w:rPr>
        <w:t xml:space="preserve"> idoenea quando </w:t>
      </w:r>
      <w:r w:rsidR="00260B62">
        <w:rPr>
          <w:rFonts w:ascii="Baskerville" w:hAnsi="Baskerville"/>
          <w:sz w:val="22"/>
          <w:szCs w:val="22"/>
        </w:rPr>
        <w:t>la società è</w:t>
      </w:r>
      <w:r w:rsidR="00D92DF7">
        <w:rPr>
          <w:rFonts w:ascii="Baskerville" w:hAnsi="Baskerville"/>
          <w:sz w:val="22"/>
          <w:szCs w:val="22"/>
        </w:rPr>
        <w:t xml:space="preserve"> effettivamente infiltrata in un contesto mafioso, ma c’è la possibilità di bonificarla poiché i rapporti con la criminalità organizzata non si ritengono </w:t>
      </w:r>
      <w:r w:rsidR="003A3A31">
        <w:rPr>
          <w:rFonts w:ascii="Baskerville" w:hAnsi="Baskerville"/>
          <w:sz w:val="22"/>
          <w:szCs w:val="22"/>
        </w:rPr>
        <w:t>essere</w:t>
      </w:r>
      <w:r w:rsidR="00D92DF7">
        <w:rPr>
          <w:rFonts w:ascii="Baskerville" w:hAnsi="Baskerville"/>
          <w:sz w:val="22"/>
          <w:szCs w:val="22"/>
        </w:rPr>
        <w:t xml:space="preserve"> stabili e continuantivi. </w:t>
      </w:r>
    </w:p>
    <w:p w14:paraId="7FB50CBF" w14:textId="77777777" w:rsidR="00D92DF7" w:rsidRDefault="00D92DF7" w:rsidP="00F222C0">
      <w:pPr>
        <w:spacing w:line="276" w:lineRule="auto"/>
        <w:ind w:firstLine="357"/>
        <w:jc w:val="both"/>
        <w:rPr>
          <w:rFonts w:ascii="Baskerville" w:hAnsi="Baskerville"/>
          <w:sz w:val="22"/>
          <w:szCs w:val="22"/>
        </w:rPr>
      </w:pPr>
      <w:r>
        <w:rPr>
          <w:rFonts w:ascii="Baskerville" w:hAnsi="Baskerville"/>
          <w:sz w:val="22"/>
          <w:szCs w:val="22"/>
        </w:rPr>
        <w:t xml:space="preserve">Le Sezioni Unite </w:t>
      </w:r>
      <w:r w:rsidR="003A3A31">
        <w:rPr>
          <w:rFonts w:ascii="Baskerville" w:hAnsi="Baskerville"/>
          <w:sz w:val="22"/>
          <w:szCs w:val="22"/>
        </w:rPr>
        <w:t>statuiscono</w:t>
      </w:r>
      <w:r w:rsidR="00776BA0">
        <w:rPr>
          <w:rFonts w:ascii="Baskerville" w:hAnsi="Baskerville"/>
          <w:sz w:val="22"/>
          <w:szCs w:val="22"/>
        </w:rPr>
        <w:t xml:space="preserve"> che il </w:t>
      </w:r>
      <w:r w:rsidRPr="00D92DF7">
        <w:rPr>
          <w:rFonts w:ascii="Baskerville" w:hAnsi="Baskerville"/>
          <w:sz w:val="22"/>
          <w:szCs w:val="22"/>
        </w:rPr>
        <w:t xml:space="preserve">controllo giudiziario </w:t>
      </w:r>
      <w:r w:rsidR="00776BA0">
        <w:rPr>
          <w:rFonts w:ascii="Baskerville" w:hAnsi="Baskerville"/>
          <w:sz w:val="22"/>
          <w:szCs w:val="22"/>
        </w:rPr>
        <w:t>di carattere volontario e</w:t>
      </w:r>
      <w:r w:rsidRPr="00D92DF7">
        <w:rPr>
          <w:rFonts w:ascii="Baskerville" w:hAnsi="Baskerville"/>
          <w:sz w:val="22"/>
          <w:szCs w:val="22"/>
        </w:rPr>
        <w:t xml:space="preserve"> quello disposto d’ufficio o su richiesta pubblica non </w:t>
      </w:r>
      <w:r w:rsidR="00260B62">
        <w:rPr>
          <w:rFonts w:ascii="Baskerville" w:hAnsi="Baskerville"/>
          <w:sz w:val="22"/>
          <w:szCs w:val="22"/>
        </w:rPr>
        <w:t>siano</w:t>
      </w:r>
      <w:r w:rsidRPr="00D92DF7">
        <w:rPr>
          <w:rFonts w:ascii="Baskerville" w:hAnsi="Baskerville"/>
          <w:sz w:val="22"/>
          <w:szCs w:val="22"/>
        </w:rPr>
        <w:t xml:space="preserve"> misure diverse quanto ai presupposti sostanziali</w:t>
      </w:r>
      <w:r w:rsidR="00776BA0">
        <w:rPr>
          <w:rFonts w:ascii="Baskerville" w:hAnsi="Baskerville"/>
          <w:sz w:val="22"/>
          <w:szCs w:val="22"/>
        </w:rPr>
        <w:t xml:space="preserve"> e quindi</w:t>
      </w:r>
      <w:r w:rsidR="003A3A31">
        <w:rPr>
          <w:rFonts w:ascii="Baskerville" w:hAnsi="Baskerville"/>
          <w:sz w:val="22"/>
          <w:szCs w:val="22"/>
        </w:rPr>
        <w:t xml:space="preserve">, </w:t>
      </w:r>
      <w:r w:rsidR="00776BA0">
        <w:rPr>
          <w:rFonts w:ascii="Baskerville" w:hAnsi="Baskerville"/>
          <w:sz w:val="22"/>
          <w:szCs w:val="22"/>
        </w:rPr>
        <w:t>anche</w:t>
      </w:r>
      <w:r w:rsidR="00260B62">
        <w:rPr>
          <w:rFonts w:ascii="Baskerville" w:hAnsi="Baskerville"/>
          <w:sz w:val="22"/>
          <w:szCs w:val="22"/>
        </w:rPr>
        <w:t xml:space="preserve"> </w:t>
      </w:r>
      <w:r w:rsidR="00776BA0">
        <w:rPr>
          <w:rFonts w:ascii="Baskerville" w:hAnsi="Baskerville"/>
          <w:sz w:val="22"/>
          <w:szCs w:val="22"/>
        </w:rPr>
        <w:t>nell’ip</w:t>
      </w:r>
      <w:r w:rsidR="00260B62">
        <w:rPr>
          <w:rFonts w:ascii="Baskerville" w:hAnsi="Baskerville"/>
          <w:sz w:val="22"/>
          <w:szCs w:val="22"/>
        </w:rPr>
        <w:t>o</w:t>
      </w:r>
      <w:r w:rsidR="00776BA0">
        <w:rPr>
          <w:rFonts w:ascii="Baskerville" w:hAnsi="Baskerville"/>
          <w:sz w:val="22"/>
          <w:szCs w:val="22"/>
        </w:rPr>
        <w:t xml:space="preserve">tesi in cui </w:t>
      </w:r>
      <w:r w:rsidRPr="00D92DF7">
        <w:rPr>
          <w:rFonts w:ascii="Baskerville" w:hAnsi="Baskerville"/>
          <w:sz w:val="22"/>
          <w:szCs w:val="22"/>
        </w:rPr>
        <w:t xml:space="preserve">l’iniziativa </w:t>
      </w:r>
      <w:r w:rsidR="00260B62">
        <w:rPr>
          <w:rFonts w:ascii="Baskerville" w:hAnsi="Baskerville"/>
          <w:sz w:val="22"/>
          <w:szCs w:val="22"/>
        </w:rPr>
        <w:t xml:space="preserve">di applicazione della misura sia proveniente </w:t>
      </w:r>
      <w:r w:rsidRPr="00D92DF7">
        <w:rPr>
          <w:rFonts w:ascii="Baskerville" w:hAnsi="Baskerville"/>
          <w:sz w:val="22"/>
          <w:szCs w:val="22"/>
        </w:rPr>
        <w:t xml:space="preserve">dall’impresa, il giudice </w:t>
      </w:r>
      <w:r w:rsidR="00776BA0">
        <w:rPr>
          <w:rFonts w:ascii="Baskerville" w:hAnsi="Baskerville"/>
          <w:sz w:val="22"/>
          <w:szCs w:val="22"/>
        </w:rPr>
        <w:t>è tenuto ad</w:t>
      </w:r>
      <w:r w:rsidRPr="00D92DF7">
        <w:rPr>
          <w:rFonts w:ascii="Baskerville" w:hAnsi="Baskerville"/>
          <w:sz w:val="22"/>
          <w:szCs w:val="22"/>
        </w:rPr>
        <w:t xml:space="preserve"> accertare i presupposti tipici del controllo giudiziario</w:t>
      </w:r>
      <w:r w:rsidR="00260B62">
        <w:rPr>
          <w:rFonts w:ascii="Baskerville" w:hAnsi="Baskerville"/>
          <w:sz w:val="22"/>
          <w:szCs w:val="22"/>
        </w:rPr>
        <w:t>, quali</w:t>
      </w:r>
      <w:r w:rsidRPr="00D92DF7">
        <w:rPr>
          <w:rFonts w:ascii="Baskerville" w:hAnsi="Baskerville"/>
          <w:sz w:val="22"/>
          <w:szCs w:val="22"/>
        </w:rPr>
        <w:t xml:space="preserve"> l’esistenza di un pericolo di infiltrazione o agevolazione mafiosa, il carattere occasionale di tale agevolazione e la concreta possibilità di recupero dell’impresa.</w:t>
      </w:r>
      <w:r w:rsidR="00776BA0">
        <w:rPr>
          <w:rFonts w:ascii="Baskerville" w:hAnsi="Baskerville"/>
          <w:sz w:val="22"/>
          <w:szCs w:val="22"/>
        </w:rPr>
        <w:t xml:space="preserve"> La Suprema Corte, infatti, valorizza il dato letterale della norma in oggetto, ossia l’articolo 34 </w:t>
      </w:r>
      <w:r w:rsidR="00776BA0" w:rsidRPr="00260B62">
        <w:rPr>
          <w:rFonts w:ascii="Baskerville" w:hAnsi="Baskerville"/>
          <w:i/>
          <w:iCs/>
          <w:sz w:val="22"/>
          <w:szCs w:val="22"/>
        </w:rPr>
        <w:t>bis</w:t>
      </w:r>
      <w:r w:rsidR="00776BA0">
        <w:rPr>
          <w:rFonts w:ascii="Baskerville" w:hAnsi="Baskerville"/>
          <w:sz w:val="22"/>
          <w:szCs w:val="22"/>
        </w:rPr>
        <w:t xml:space="preserve"> del Codice Antimafia, il quale al comma sei fa riferimento all’applicazione della msiura in constanza </w:t>
      </w:r>
      <w:r w:rsidR="00260B62">
        <w:rPr>
          <w:rFonts w:ascii="Baskerville" w:hAnsi="Baskerville"/>
          <w:sz w:val="22"/>
          <w:szCs w:val="22"/>
        </w:rPr>
        <w:t>“</w:t>
      </w:r>
      <w:r w:rsidR="00776BA0">
        <w:rPr>
          <w:rFonts w:ascii="Baskerville" w:hAnsi="Baskerville"/>
          <w:sz w:val="22"/>
          <w:szCs w:val="22"/>
        </w:rPr>
        <w:t>dei presupposti</w:t>
      </w:r>
      <w:r w:rsidR="00260B62">
        <w:rPr>
          <w:rFonts w:ascii="Baskerville" w:hAnsi="Baskerville"/>
          <w:sz w:val="22"/>
          <w:szCs w:val="22"/>
        </w:rPr>
        <w:t xml:space="preserve">” </w:t>
      </w:r>
      <w:r w:rsidR="00776BA0">
        <w:rPr>
          <w:rFonts w:ascii="Baskerville" w:hAnsi="Baskerville"/>
          <w:sz w:val="22"/>
          <w:szCs w:val="22"/>
        </w:rPr>
        <w:t>che, a parere della Corte di Legittimità</w:t>
      </w:r>
      <w:r w:rsidR="00260B62">
        <w:rPr>
          <w:rFonts w:ascii="Baskerville" w:hAnsi="Baskerville"/>
          <w:sz w:val="22"/>
          <w:szCs w:val="22"/>
        </w:rPr>
        <w:t xml:space="preserve">, </w:t>
      </w:r>
      <w:r w:rsidR="003A3A31">
        <w:rPr>
          <w:rFonts w:ascii="Baskerville" w:hAnsi="Baskerville"/>
          <w:sz w:val="22"/>
          <w:szCs w:val="22"/>
        </w:rPr>
        <w:t>devono intendersi come quelli</w:t>
      </w:r>
      <w:r w:rsidR="00776BA0">
        <w:rPr>
          <w:rFonts w:ascii="Baskerville" w:hAnsi="Baskerville"/>
          <w:sz w:val="22"/>
          <w:szCs w:val="22"/>
        </w:rPr>
        <w:t xml:space="preserve"> di carattere sostanziale</w:t>
      </w:r>
      <w:r w:rsidR="003A3A31">
        <w:rPr>
          <w:rFonts w:ascii="Baskerville" w:hAnsi="Baskerville"/>
          <w:sz w:val="22"/>
          <w:szCs w:val="22"/>
        </w:rPr>
        <w:t xml:space="preserve"> in precedenza menzionati. </w:t>
      </w:r>
    </w:p>
    <w:p w14:paraId="5FB6F6F1" w14:textId="77777777" w:rsidR="009A1710" w:rsidRDefault="00260B62" w:rsidP="00F222C0">
      <w:pPr>
        <w:spacing w:line="276" w:lineRule="auto"/>
        <w:ind w:firstLine="357"/>
        <w:jc w:val="both"/>
        <w:rPr>
          <w:rFonts w:ascii="Baskerville" w:hAnsi="Baskerville"/>
          <w:sz w:val="22"/>
          <w:szCs w:val="22"/>
        </w:rPr>
      </w:pPr>
      <w:r>
        <w:rPr>
          <w:rFonts w:ascii="Baskerville" w:hAnsi="Baskerville"/>
          <w:sz w:val="22"/>
          <w:szCs w:val="22"/>
        </w:rPr>
        <w:t>Nelle</w:t>
      </w:r>
      <w:r w:rsidR="009A1710">
        <w:rPr>
          <w:rFonts w:ascii="Baskerville" w:hAnsi="Baskerville"/>
          <w:sz w:val="22"/>
          <w:szCs w:val="22"/>
        </w:rPr>
        <w:t xml:space="preserve"> motivazioni </w:t>
      </w:r>
      <w:r>
        <w:rPr>
          <w:rFonts w:ascii="Baskerville" w:hAnsi="Baskerville"/>
          <w:sz w:val="22"/>
          <w:szCs w:val="22"/>
        </w:rPr>
        <w:t>viene inoltre escluso</w:t>
      </w:r>
      <w:r w:rsidR="009A1710">
        <w:rPr>
          <w:rFonts w:ascii="Baskerville" w:hAnsi="Baskerville"/>
          <w:sz w:val="22"/>
          <w:szCs w:val="22"/>
        </w:rPr>
        <w:t xml:space="preserve"> che </w:t>
      </w:r>
      <w:r w:rsidR="009A1710" w:rsidRPr="009A1710">
        <w:rPr>
          <w:rFonts w:ascii="Baskerville" w:hAnsi="Baskerville"/>
          <w:sz w:val="22"/>
          <w:szCs w:val="22"/>
        </w:rPr>
        <w:t xml:space="preserve">il giudice della prevenzione sia vincolato alla valutazione contenuta nell’interdittiva antimafia. </w:t>
      </w:r>
      <w:r w:rsidR="009A1710">
        <w:rPr>
          <w:rFonts w:ascii="Baskerville" w:hAnsi="Baskerville"/>
          <w:sz w:val="22"/>
          <w:szCs w:val="22"/>
        </w:rPr>
        <w:t xml:space="preserve">Si </w:t>
      </w:r>
      <w:r w:rsidR="009A1710">
        <w:rPr>
          <w:rFonts w:ascii="Baskerville" w:hAnsi="Baskerville"/>
          <w:sz w:val="22"/>
          <w:szCs w:val="22"/>
        </w:rPr>
        <w:t>ritiene, infatti, che il</w:t>
      </w:r>
      <w:r w:rsidR="009A1710" w:rsidRPr="009A1710">
        <w:rPr>
          <w:rFonts w:ascii="Baskerville" w:hAnsi="Baskerville"/>
          <w:sz w:val="22"/>
          <w:szCs w:val="22"/>
        </w:rPr>
        <w:t xml:space="preserve"> provvedimento prefettizio </w:t>
      </w:r>
      <w:r w:rsidR="009A1710">
        <w:rPr>
          <w:rFonts w:ascii="Baskerville" w:hAnsi="Baskerville"/>
          <w:sz w:val="22"/>
          <w:szCs w:val="22"/>
        </w:rPr>
        <w:t>debba</w:t>
      </w:r>
      <w:r w:rsidR="009A1710" w:rsidRPr="009A1710">
        <w:rPr>
          <w:rFonts w:ascii="Baskerville" w:hAnsi="Baskerville"/>
          <w:sz w:val="22"/>
          <w:szCs w:val="22"/>
        </w:rPr>
        <w:t xml:space="preserve"> certamente essere preso in considerazione </w:t>
      </w:r>
      <w:r w:rsidR="009A1710">
        <w:rPr>
          <w:rFonts w:ascii="Baskerville" w:hAnsi="Baskerville"/>
          <w:sz w:val="22"/>
          <w:szCs w:val="22"/>
        </w:rPr>
        <w:t>in quanto origine della vicenda</w:t>
      </w:r>
      <w:r w:rsidR="009A1710" w:rsidRPr="009A1710">
        <w:rPr>
          <w:rFonts w:ascii="Baskerville" w:hAnsi="Baskerville"/>
          <w:sz w:val="22"/>
          <w:szCs w:val="22"/>
        </w:rPr>
        <w:t>, ma</w:t>
      </w:r>
      <w:r w:rsidR="009A1710">
        <w:rPr>
          <w:rFonts w:ascii="Baskerville" w:hAnsi="Baskerville"/>
          <w:sz w:val="22"/>
          <w:szCs w:val="22"/>
        </w:rPr>
        <w:t xml:space="preserve"> che esso non rappresenti</w:t>
      </w:r>
      <w:r w:rsidR="009A1710" w:rsidRPr="009A1710">
        <w:rPr>
          <w:rFonts w:ascii="Baskerville" w:hAnsi="Baskerville"/>
          <w:sz w:val="22"/>
          <w:szCs w:val="22"/>
        </w:rPr>
        <w:t xml:space="preserve"> un dato intangibile. Il giudice della prevenzione conserva una cognizione piena e autonoma</w:t>
      </w:r>
      <w:r w:rsidR="009A1710">
        <w:rPr>
          <w:rFonts w:ascii="Baskerville" w:hAnsi="Baskerville"/>
          <w:sz w:val="22"/>
          <w:szCs w:val="22"/>
        </w:rPr>
        <w:t xml:space="preserve">, potendo, quindi, </w:t>
      </w:r>
      <w:r w:rsidR="009A1710" w:rsidRPr="009A1710">
        <w:rPr>
          <w:rFonts w:ascii="Baskerville" w:hAnsi="Baskerville"/>
          <w:sz w:val="22"/>
          <w:szCs w:val="22"/>
        </w:rPr>
        <w:t>giungere anche a conclusioni diverse da quelle dell’autorità amministrativa.</w:t>
      </w:r>
      <w:r w:rsidR="009A1710">
        <w:rPr>
          <w:rFonts w:ascii="Baskerville" w:hAnsi="Baskerville"/>
          <w:sz w:val="22"/>
          <w:szCs w:val="22"/>
        </w:rPr>
        <w:t xml:space="preserve"> I provvedimenti oggetto di analisi, interdittiva e controllo giudiziario volontario, sono autonomi e differenti in quanto </w:t>
      </w:r>
      <w:r w:rsidR="009A1710" w:rsidRPr="009A1710">
        <w:rPr>
          <w:rFonts w:ascii="Baskerville" w:hAnsi="Baskerville"/>
          <w:sz w:val="22"/>
          <w:szCs w:val="22"/>
        </w:rPr>
        <w:t>l</w:t>
      </w:r>
      <w:r w:rsidR="009A1710">
        <w:rPr>
          <w:rFonts w:ascii="Baskerville" w:hAnsi="Baskerville"/>
          <w:sz w:val="22"/>
          <w:szCs w:val="22"/>
        </w:rPr>
        <w:t>’</w:t>
      </w:r>
      <w:r w:rsidR="009A1710" w:rsidRPr="009A1710">
        <w:rPr>
          <w:rFonts w:ascii="Baskerville" w:hAnsi="Baskerville"/>
          <w:sz w:val="22"/>
          <w:szCs w:val="22"/>
        </w:rPr>
        <w:t xml:space="preserve">interdittiva costituisce un provvedimento </w:t>
      </w:r>
      <w:r w:rsidR="009A1710">
        <w:rPr>
          <w:rFonts w:ascii="Baskerville" w:hAnsi="Baskerville"/>
          <w:sz w:val="22"/>
          <w:szCs w:val="22"/>
        </w:rPr>
        <w:t>a</w:t>
      </w:r>
      <w:r w:rsidR="009A1710" w:rsidRPr="009A1710">
        <w:rPr>
          <w:rFonts w:ascii="Baskerville" w:hAnsi="Baskerville"/>
          <w:sz w:val="22"/>
          <w:szCs w:val="22"/>
        </w:rPr>
        <w:t>mministrativo fondato su una valutazione preventiva</w:t>
      </w:r>
      <w:r w:rsidR="009A1710">
        <w:rPr>
          <w:rFonts w:ascii="Baskerville" w:hAnsi="Baskerville"/>
          <w:sz w:val="22"/>
          <w:szCs w:val="22"/>
        </w:rPr>
        <w:t xml:space="preserve"> </w:t>
      </w:r>
      <w:r w:rsidR="009A1710" w:rsidRPr="009A1710">
        <w:rPr>
          <w:rFonts w:ascii="Baskerville" w:hAnsi="Baskerville"/>
          <w:sz w:val="22"/>
          <w:szCs w:val="22"/>
        </w:rPr>
        <w:t>e probabilistica del rischio d</w:t>
      </w:r>
      <w:r w:rsidR="009A1710">
        <w:rPr>
          <w:rFonts w:ascii="Baskerville" w:hAnsi="Baskerville"/>
          <w:sz w:val="22"/>
          <w:szCs w:val="22"/>
        </w:rPr>
        <w:t>’</w:t>
      </w:r>
      <w:r w:rsidR="009A1710" w:rsidRPr="009A1710">
        <w:rPr>
          <w:rFonts w:ascii="Baskerville" w:hAnsi="Baskerville"/>
          <w:sz w:val="22"/>
          <w:szCs w:val="22"/>
        </w:rPr>
        <w:t>infiltrazione</w:t>
      </w:r>
      <w:r w:rsidR="009A1710">
        <w:rPr>
          <w:rFonts w:ascii="Baskerville" w:hAnsi="Baskerville"/>
          <w:sz w:val="22"/>
          <w:szCs w:val="22"/>
        </w:rPr>
        <w:t>, mentre il</w:t>
      </w:r>
      <w:r w:rsidR="009A1710" w:rsidRPr="009A1710">
        <w:rPr>
          <w:rFonts w:ascii="Baskerville" w:hAnsi="Baskerville"/>
          <w:sz w:val="22"/>
          <w:szCs w:val="22"/>
        </w:rPr>
        <w:t xml:space="preserve"> controllo giudiziario</w:t>
      </w:r>
      <w:r w:rsidR="009A1710">
        <w:rPr>
          <w:rFonts w:ascii="Baskerville" w:hAnsi="Baskerville"/>
          <w:sz w:val="22"/>
          <w:szCs w:val="22"/>
        </w:rPr>
        <w:t xml:space="preserve"> </w:t>
      </w:r>
      <w:r w:rsidR="009A1710" w:rsidRPr="009A1710">
        <w:rPr>
          <w:rFonts w:ascii="Baskerville" w:hAnsi="Baskerville"/>
          <w:sz w:val="22"/>
          <w:szCs w:val="22"/>
        </w:rPr>
        <w:t>richiede una valutazione giudiziale più ampia</w:t>
      </w:r>
      <w:r>
        <w:rPr>
          <w:rFonts w:ascii="Baskerville" w:hAnsi="Baskerville"/>
          <w:sz w:val="22"/>
          <w:szCs w:val="22"/>
        </w:rPr>
        <w:t xml:space="preserve"> </w:t>
      </w:r>
      <w:r w:rsidR="009A1710" w:rsidRPr="009A1710">
        <w:rPr>
          <w:rFonts w:ascii="Baskerville" w:hAnsi="Baskerville"/>
          <w:sz w:val="22"/>
          <w:szCs w:val="22"/>
        </w:rPr>
        <w:t xml:space="preserve">che non guarda solo al passato dell’impresa, ma anche alla sua condizione attuale, al rischio di reiterazione dei rapporti patologici e alla possibilità concreta di riallineamento dell’attività economica a un contesto legale.  </w:t>
      </w:r>
    </w:p>
    <w:p w14:paraId="092C69A0" w14:textId="77777777" w:rsidR="009A1710" w:rsidRDefault="009A1710" w:rsidP="00F222C0">
      <w:pPr>
        <w:spacing w:line="276" w:lineRule="auto"/>
        <w:ind w:firstLine="357"/>
        <w:jc w:val="both"/>
        <w:rPr>
          <w:rFonts w:ascii="Segoe UI" w:hAnsi="Segoe UI" w:cs="Segoe UI"/>
          <w:sz w:val="21"/>
          <w:szCs w:val="21"/>
        </w:rPr>
      </w:pPr>
      <w:r>
        <w:rPr>
          <w:rFonts w:ascii="Baskerville" w:hAnsi="Baskerville"/>
          <w:sz w:val="22"/>
          <w:szCs w:val="22"/>
        </w:rPr>
        <w:t xml:space="preserve">Le Sezioni Unite </w:t>
      </w:r>
      <w:r w:rsidR="00260B62">
        <w:rPr>
          <w:rFonts w:ascii="Baskerville" w:hAnsi="Baskerville"/>
          <w:sz w:val="22"/>
          <w:szCs w:val="22"/>
        </w:rPr>
        <w:t>respingono</w:t>
      </w:r>
      <w:r>
        <w:rPr>
          <w:rFonts w:ascii="Baskerville" w:hAnsi="Baskerville"/>
          <w:sz w:val="22"/>
          <w:szCs w:val="22"/>
        </w:rPr>
        <w:t xml:space="preserve"> l’argomento proposto per cui il controllo giudiziario ad</w:t>
      </w:r>
      <w:r w:rsidR="00CC3D6E">
        <w:rPr>
          <w:rFonts w:ascii="Baskerville" w:hAnsi="Baskerville"/>
          <w:sz w:val="22"/>
          <w:szCs w:val="22"/>
        </w:rPr>
        <w:t xml:space="preserve"> </w:t>
      </w:r>
      <w:r>
        <w:rPr>
          <w:rFonts w:ascii="Baskerville" w:hAnsi="Baskerville"/>
          <w:sz w:val="22"/>
          <w:szCs w:val="22"/>
        </w:rPr>
        <w:t>un’impresa ritenuta non attualmente inflitrata produrrebbe una disparità di trattamento specifica</w:t>
      </w:r>
      <w:r w:rsidR="00CC3D6E">
        <w:rPr>
          <w:rFonts w:ascii="Baskerville" w:hAnsi="Baskerville"/>
          <w:sz w:val="22"/>
          <w:szCs w:val="22"/>
        </w:rPr>
        <w:t xml:space="preserve">ndo che le circostanze sono </w:t>
      </w:r>
      <w:r w:rsidR="00260B62">
        <w:rPr>
          <w:rFonts w:ascii="Baskerville" w:hAnsi="Baskerville"/>
          <w:sz w:val="22"/>
          <w:szCs w:val="22"/>
        </w:rPr>
        <w:t>profondamente</w:t>
      </w:r>
      <w:r w:rsidR="00CC3D6E">
        <w:rPr>
          <w:rFonts w:ascii="Baskerville" w:hAnsi="Baskerville"/>
          <w:sz w:val="22"/>
          <w:szCs w:val="22"/>
        </w:rPr>
        <w:t xml:space="preserve"> distinte: in un caso l’impresa necessità di essere bonificata poiché, appunto, inflitrata, in un altro l’impresa è ritneuta sana e priva di collegamenti con la criminalità organizzata, pertanto non bisgnosa di alcuna misura di prevenzione. </w:t>
      </w:r>
    </w:p>
    <w:p w14:paraId="07DCCC16" w14:textId="77777777" w:rsidR="009A1710" w:rsidRDefault="00CC3D6E" w:rsidP="00F222C0">
      <w:pPr>
        <w:spacing w:line="276" w:lineRule="auto"/>
        <w:ind w:firstLine="357"/>
        <w:jc w:val="both"/>
        <w:rPr>
          <w:rFonts w:ascii="Baskerville" w:hAnsi="Baskerville"/>
          <w:sz w:val="22"/>
          <w:szCs w:val="22"/>
        </w:rPr>
      </w:pPr>
      <w:r>
        <w:rPr>
          <w:rFonts w:ascii="Baskerville" w:hAnsi="Baskerville"/>
          <w:sz w:val="22"/>
          <w:szCs w:val="22"/>
        </w:rPr>
        <w:t>La Corte precisa, inoltre, che la</w:t>
      </w:r>
      <w:r w:rsidR="009A1710" w:rsidRPr="009A1710">
        <w:rPr>
          <w:rFonts w:ascii="Baskerville" w:hAnsi="Baskerville"/>
          <w:sz w:val="22"/>
          <w:szCs w:val="22"/>
        </w:rPr>
        <w:t xml:space="preserve"> sospensione degli effetti interdittivi è una conseguenza dell’ammissione alla misura, ma non può diventare la ragione autonoma per disporla. Se così fosse, il controllo giudiziario verrebbe snaturato e utilizzato per una finalità diversa da quella voluta dal legislatore. </w:t>
      </w:r>
    </w:p>
    <w:p w14:paraId="3C8E1ADE" w14:textId="77777777" w:rsidR="009A1710" w:rsidRDefault="00CC3D6E" w:rsidP="00F222C0">
      <w:pPr>
        <w:spacing w:line="276" w:lineRule="auto"/>
        <w:ind w:firstLine="357"/>
        <w:jc w:val="both"/>
        <w:rPr>
          <w:rFonts w:ascii="Baskerville" w:hAnsi="Baskerville"/>
          <w:sz w:val="22"/>
          <w:szCs w:val="22"/>
        </w:rPr>
      </w:pPr>
      <w:r>
        <w:rPr>
          <w:rFonts w:ascii="Baskerville" w:hAnsi="Baskerville"/>
          <w:sz w:val="22"/>
          <w:szCs w:val="22"/>
        </w:rPr>
        <w:t xml:space="preserve">In ogni caso, </w:t>
      </w:r>
      <w:r w:rsidR="009A1710" w:rsidRPr="00CC3D6E">
        <w:rPr>
          <w:rFonts w:ascii="Baskerville" w:hAnsi="Baskerville"/>
          <w:sz w:val="22"/>
          <w:szCs w:val="22"/>
        </w:rPr>
        <w:t>la decisione del giudice della prevenzione non rimane priva di effetti nel rapporto con l’autorità amministrativa</w:t>
      </w:r>
      <w:r>
        <w:rPr>
          <w:rFonts w:ascii="Baskerville" w:hAnsi="Baskerville"/>
          <w:sz w:val="22"/>
          <w:szCs w:val="22"/>
        </w:rPr>
        <w:t xml:space="preserve">. Di conseguenza, la decisione giudiziale con </w:t>
      </w:r>
      <w:r w:rsidR="00260B62">
        <w:rPr>
          <w:rFonts w:ascii="Baskerville" w:hAnsi="Baskerville"/>
          <w:sz w:val="22"/>
          <w:szCs w:val="22"/>
        </w:rPr>
        <w:t>l</w:t>
      </w:r>
      <w:r>
        <w:rPr>
          <w:rFonts w:ascii="Baskerville" w:hAnsi="Baskerville"/>
          <w:sz w:val="22"/>
          <w:szCs w:val="22"/>
        </w:rPr>
        <w:t xml:space="preserve">a quale si accerta l’insussitenza  </w:t>
      </w:r>
      <w:r w:rsidR="009A1710" w:rsidRPr="00CC3D6E">
        <w:rPr>
          <w:rFonts w:ascii="Baskerville" w:hAnsi="Baskerville"/>
          <w:sz w:val="22"/>
          <w:szCs w:val="22"/>
        </w:rPr>
        <w:t>del pericolo attuale di infiltrazione, costituisce un fatto nuovo che il Prefetto deve valutare nell’ambito del procedimento di aggiornamento dell’in</w:t>
      </w:r>
      <w:r w:rsidR="003A3A31">
        <w:rPr>
          <w:rFonts w:ascii="Baskerville" w:hAnsi="Baskerville"/>
          <w:sz w:val="22"/>
          <w:szCs w:val="22"/>
        </w:rPr>
        <w:t>terdittiva</w:t>
      </w:r>
      <w:r w:rsidR="009A1710" w:rsidRPr="00CC3D6E">
        <w:rPr>
          <w:rFonts w:ascii="Baskerville" w:hAnsi="Baskerville"/>
          <w:sz w:val="22"/>
          <w:szCs w:val="22"/>
        </w:rPr>
        <w:t xml:space="preserve"> antimafia. </w:t>
      </w:r>
      <w:r>
        <w:rPr>
          <w:rFonts w:ascii="Baskerville" w:hAnsi="Baskerville"/>
          <w:sz w:val="22"/>
          <w:szCs w:val="22"/>
        </w:rPr>
        <w:t xml:space="preserve">Con tale impostanzione di pensiero la Suprema Corte cerca di </w:t>
      </w:r>
      <w:r w:rsidR="009A1710" w:rsidRPr="00CC3D6E">
        <w:rPr>
          <w:rFonts w:ascii="Baskerville" w:hAnsi="Baskerville"/>
          <w:sz w:val="22"/>
          <w:szCs w:val="22"/>
        </w:rPr>
        <w:t>coordinare i</w:t>
      </w:r>
      <w:r>
        <w:rPr>
          <w:rFonts w:ascii="Baskerville" w:hAnsi="Baskerville"/>
          <w:sz w:val="22"/>
          <w:szCs w:val="22"/>
        </w:rPr>
        <w:t xml:space="preserve">l piano </w:t>
      </w:r>
      <w:r w:rsidR="009A1710" w:rsidRPr="00CC3D6E">
        <w:rPr>
          <w:rFonts w:ascii="Baskerville" w:hAnsi="Baskerville"/>
          <w:sz w:val="22"/>
          <w:szCs w:val="22"/>
        </w:rPr>
        <w:t>giudiziario-preventivo e quello amministrativo</w:t>
      </w:r>
      <w:r>
        <w:rPr>
          <w:rFonts w:ascii="Baskerville" w:hAnsi="Baskerville"/>
          <w:sz w:val="22"/>
          <w:szCs w:val="22"/>
        </w:rPr>
        <w:t xml:space="preserve">, mantenendoli distinti e separati ed evitando la subordianzione di uno all’altro. </w:t>
      </w:r>
    </w:p>
    <w:p w14:paraId="32A99D4D" w14:textId="77777777" w:rsidR="003A3A31" w:rsidRDefault="00CC3D6E" w:rsidP="00F222C0">
      <w:pPr>
        <w:spacing w:line="276" w:lineRule="auto"/>
        <w:ind w:firstLine="357"/>
        <w:jc w:val="both"/>
        <w:rPr>
          <w:rFonts w:ascii="Baskerville" w:hAnsi="Baskerville"/>
          <w:sz w:val="22"/>
          <w:szCs w:val="22"/>
        </w:rPr>
      </w:pPr>
      <w:r>
        <w:rPr>
          <w:rFonts w:ascii="Baskerville" w:hAnsi="Baskerville"/>
          <w:sz w:val="22"/>
          <w:szCs w:val="22"/>
        </w:rPr>
        <w:lastRenderedPageBreak/>
        <w:t xml:space="preserve">Le Sezioni unite, in </w:t>
      </w:r>
      <w:r w:rsidR="003A3A31">
        <w:rPr>
          <w:rFonts w:ascii="Baskerville" w:hAnsi="Baskerville"/>
          <w:sz w:val="22"/>
          <w:szCs w:val="22"/>
        </w:rPr>
        <w:t>S</w:t>
      </w:r>
      <w:r>
        <w:rPr>
          <w:rFonts w:ascii="Baskerville" w:hAnsi="Baskerville"/>
          <w:sz w:val="22"/>
          <w:szCs w:val="22"/>
        </w:rPr>
        <w:t xml:space="preserve">entenza, ricordano che le </w:t>
      </w:r>
      <w:r w:rsidR="009A1710" w:rsidRPr="00CC3D6E">
        <w:rPr>
          <w:rFonts w:ascii="Baskerville" w:hAnsi="Baskerville"/>
          <w:sz w:val="22"/>
          <w:szCs w:val="22"/>
        </w:rPr>
        <w:t>misure di prevenzione incidono su libertà fondamentali</w:t>
      </w:r>
      <w:r w:rsidR="003A3A31">
        <w:rPr>
          <w:rFonts w:ascii="Baskerville" w:hAnsi="Baskerville"/>
          <w:sz w:val="22"/>
          <w:szCs w:val="22"/>
        </w:rPr>
        <w:t xml:space="preserve"> </w:t>
      </w:r>
      <w:r w:rsidRPr="00CC3D6E">
        <w:rPr>
          <w:rFonts w:ascii="Baskerville" w:hAnsi="Baskerville"/>
          <w:sz w:val="22"/>
          <w:szCs w:val="22"/>
        </w:rPr>
        <w:t xml:space="preserve">e priprio </w:t>
      </w:r>
      <w:r w:rsidR="009A1710" w:rsidRPr="00CC3D6E">
        <w:rPr>
          <w:rFonts w:ascii="Baskerville" w:hAnsi="Baskerville"/>
          <w:sz w:val="22"/>
          <w:szCs w:val="22"/>
        </w:rPr>
        <w:t>per questo</w:t>
      </w:r>
      <w:r w:rsidRPr="00CC3D6E">
        <w:rPr>
          <w:rFonts w:ascii="Baskerville" w:hAnsi="Baskerville"/>
          <w:sz w:val="22"/>
          <w:szCs w:val="22"/>
        </w:rPr>
        <w:t xml:space="preserve"> motivo </w:t>
      </w:r>
      <w:r w:rsidR="009A1710" w:rsidRPr="00CC3D6E">
        <w:rPr>
          <w:rFonts w:ascii="Baskerville" w:hAnsi="Baskerville"/>
          <w:sz w:val="22"/>
          <w:szCs w:val="22"/>
        </w:rPr>
        <w:t>devono essere applicate sol</w:t>
      </w:r>
      <w:r w:rsidR="003A3A31">
        <w:rPr>
          <w:rFonts w:ascii="Baskerville" w:hAnsi="Baskerville"/>
          <w:sz w:val="22"/>
          <w:szCs w:val="22"/>
        </w:rPr>
        <w:t>tanto</w:t>
      </w:r>
      <w:r w:rsidR="009A1710" w:rsidRPr="00CC3D6E">
        <w:rPr>
          <w:rFonts w:ascii="Baskerville" w:hAnsi="Baskerville"/>
          <w:sz w:val="22"/>
          <w:szCs w:val="22"/>
        </w:rPr>
        <w:t xml:space="preserve"> quando siano necessarie </w:t>
      </w:r>
      <w:r w:rsidRPr="00CC3D6E">
        <w:rPr>
          <w:rFonts w:ascii="Baskerville" w:hAnsi="Baskerville"/>
          <w:sz w:val="22"/>
          <w:szCs w:val="22"/>
        </w:rPr>
        <w:t>e soprattutto proporzionate</w:t>
      </w:r>
      <w:r w:rsidR="009A1710" w:rsidRPr="00CC3D6E">
        <w:rPr>
          <w:rFonts w:ascii="Baskerville" w:hAnsi="Baskerville"/>
          <w:sz w:val="22"/>
          <w:szCs w:val="22"/>
        </w:rPr>
        <w:t xml:space="preserve"> rispetto </w:t>
      </w:r>
      <w:r w:rsidRPr="00CC3D6E">
        <w:rPr>
          <w:rFonts w:ascii="Baskerville" w:hAnsi="Baskerville"/>
          <w:sz w:val="22"/>
          <w:szCs w:val="22"/>
        </w:rPr>
        <w:t>al pericolo che si vuole neutralizzare</w:t>
      </w:r>
      <w:r w:rsidR="009A1710" w:rsidRPr="00CC3D6E">
        <w:rPr>
          <w:rFonts w:ascii="Baskerville" w:hAnsi="Baskerville"/>
          <w:sz w:val="22"/>
          <w:szCs w:val="22"/>
        </w:rPr>
        <w:t xml:space="preserve">. </w:t>
      </w:r>
    </w:p>
    <w:p w14:paraId="300466F8" w14:textId="77777777" w:rsidR="0018141B" w:rsidRPr="009252A1" w:rsidRDefault="009252A1" w:rsidP="00F222C0">
      <w:pPr>
        <w:spacing w:line="276" w:lineRule="auto"/>
        <w:ind w:firstLine="357"/>
        <w:jc w:val="both"/>
        <w:rPr>
          <w:rFonts w:ascii="Baskerville" w:hAnsi="Baskerville"/>
          <w:sz w:val="22"/>
          <w:szCs w:val="22"/>
        </w:rPr>
      </w:pPr>
      <w:r w:rsidRPr="009252A1">
        <w:rPr>
          <w:rFonts w:ascii="Baskerville" w:hAnsi="Baskerville"/>
          <w:sz w:val="22"/>
          <w:szCs w:val="22"/>
        </w:rPr>
        <w:t>Tutto ciò premesso</w:t>
      </w:r>
      <w:r w:rsidR="003A3A31">
        <w:rPr>
          <w:rFonts w:ascii="Baskerville" w:hAnsi="Baskerville"/>
          <w:sz w:val="22"/>
          <w:szCs w:val="22"/>
        </w:rPr>
        <w:t xml:space="preserve">, </w:t>
      </w:r>
      <w:r w:rsidRPr="009252A1">
        <w:rPr>
          <w:rFonts w:ascii="Baskerville" w:hAnsi="Baskerville"/>
          <w:sz w:val="22"/>
          <w:szCs w:val="22"/>
        </w:rPr>
        <w:t>la Corte enuncia il principio di diritto seocondo cui il</w:t>
      </w:r>
      <w:r w:rsidR="009A1710" w:rsidRPr="009252A1">
        <w:rPr>
          <w:rFonts w:ascii="Baskerville" w:hAnsi="Baskerville"/>
          <w:sz w:val="22"/>
          <w:szCs w:val="22"/>
        </w:rPr>
        <w:t xml:space="preserve"> giudice della prevenzione, investito di una richiesta di controllo giudiziario volontario, deve prendere atto dell’esistenza dell’interdittiva antimafia e della pendenza del giudizio amministrativo, ma </w:t>
      </w:r>
      <w:r w:rsidRPr="009252A1">
        <w:rPr>
          <w:rFonts w:ascii="Baskerville" w:hAnsi="Baskerville"/>
          <w:sz w:val="22"/>
          <w:szCs w:val="22"/>
        </w:rPr>
        <w:t xml:space="preserve">è comunque tenuto a </w:t>
      </w:r>
      <w:r w:rsidR="009A1710" w:rsidRPr="009252A1">
        <w:rPr>
          <w:rFonts w:ascii="Baskerville" w:hAnsi="Baskerville"/>
          <w:sz w:val="22"/>
          <w:szCs w:val="22"/>
        </w:rPr>
        <w:t xml:space="preserve"> verificare autonomamente </w:t>
      </w:r>
      <w:r w:rsidRPr="009252A1">
        <w:rPr>
          <w:rFonts w:ascii="Baskerville" w:hAnsi="Baskerville"/>
          <w:sz w:val="22"/>
          <w:szCs w:val="22"/>
        </w:rPr>
        <w:t xml:space="preserve">la sussitenza di </w:t>
      </w:r>
      <w:r w:rsidR="009A1710" w:rsidRPr="009252A1">
        <w:rPr>
          <w:rFonts w:ascii="Baskerville" w:hAnsi="Baskerville"/>
          <w:sz w:val="22"/>
          <w:szCs w:val="22"/>
        </w:rPr>
        <w:t>un pericolo attuale d</w:t>
      </w:r>
      <w:r w:rsidRPr="009252A1">
        <w:rPr>
          <w:rFonts w:ascii="Baskerville" w:hAnsi="Baskerville"/>
          <w:sz w:val="22"/>
          <w:szCs w:val="22"/>
        </w:rPr>
        <w:t>’</w:t>
      </w:r>
      <w:r w:rsidR="009A1710" w:rsidRPr="009252A1">
        <w:rPr>
          <w:rFonts w:ascii="Baskerville" w:hAnsi="Baskerville"/>
          <w:sz w:val="22"/>
          <w:szCs w:val="22"/>
        </w:rPr>
        <w:t xml:space="preserve"> infiltrazione mafiosa</w:t>
      </w:r>
      <w:r w:rsidRPr="009252A1">
        <w:rPr>
          <w:rFonts w:ascii="Baskerville" w:hAnsi="Baskerville"/>
          <w:sz w:val="22"/>
          <w:szCs w:val="22"/>
        </w:rPr>
        <w:t xml:space="preserve">, in mancanza del quale la richiesta deve essere rigettata. </w:t>
      </w:r>
    </w:p>
    <w:p w14:paraId="33EF0353" w14:textId="77777777" w:rsidR="0018141B" w:rsidRDefault="0018141B" w:rsidP="002A4A71">
      <w:pPr>
        <w:spacing w:line="276" w:lineRule="auto"/>
        <w:jc w:val="both"/>
        <w:rPr>
          <w:rFonts w:ascii="Baskerville" w:hAnsi="Baskerville"/>
          <w:sz w:val="22"/>
          <w:szCs w:val="22"/>
        </w:rPr>
      </w:pPr>
    </w:p>
    <w:p w14:paraId="29756BD9" w14:textId="545BDDCF" w:rsidR="002E7131" w:rsidRPr="002E7131" w:rsidRDefault="00A32840" w:rsidP="00F222C0">
      <w:pPr>
        <w:pStyle w:val="Titolo1"/>
        <w:ind w:left="357" w:hanging="357"/>
      </w:pPr>
      <w:bookmarkStart w:id="6" w:name="_Toc236739624"/>
      <w:r>
        <w:t>CONCLUSIONI</w:t>
      </w:r>
      <w:bookmarkEnd w:id="6"/>
    </w:p>
    <w:p w14:paraId="18B735BB" w14:textId="77777777" w:rsidR="00D56149" w:rsidRPr="00A32840" w:rsidRDefault="009252A1" w:rsidP="00F222C0">
      <w:pPr>
        <w:spacing w:line="276" w:lineRule="auto"/>
        <w:ind w:firstLine="357"/>
        <w:jc w:val="both"/>
        <w:rPr>
          <w:rFonts w:ascii="Baskerville" w:hAnsi="Baskerville"/>
          <w:sz w:val="22"/>
          <w:szCs w:val="22"/>
        </w:rPr>
      </w:pPr>
      <w:r w:rsidRPr="009252A1">
        <w:rPr>
          <w:rFonts w:ascii="Baskerville" w:hAnsi="Baskerville"/>
          <w:sz w:val="22"/>
          <w:szCs w:val="22"/>
        </w:rPr>
        <w:t>Le Sezioni Unite della Suprema Corte di Cassazione dichiarano corretta la decisione della Corte d’</w:t>
      </w:r>
      <w:r w:rsidR="008F08E7">
        <w:rPr>
          <w:rFonts w:ascii="Baskerville" w:hAnsi="Baskerville"/>
          <w:sz w:val="22"/>
          <w:szCs w:val="22"/>
        </w:rPr>
        <w:t>A</w:t>
      </w:r>
      <w:r w:rsidRPr="009252A1">
        <w:rPr>
          <w:rFonts w:ascii="Baskerville" w:hAnsi="Baskerville"/>
          <w:sz w:val="22"/>
          <w:szCs w:val="22"/>
        </w:rPr>
        <w:t>ppello di Napoli, che aveva negato l’ammissione della Società al controllo giudiziario volontario in assenza di una contaminazione mafiosa attuale. Il ricorso viene pertanto rigettato con condanna della società al pagamento delle spese processuali.</w:t>
      </w:r>
      <w:bookmarkEnd w:id="3"/>
    </w:p>
    <w:sectPr w:rsidR="00D56149" w:rsidRPr="00A32840" w:rsidSect="00385098">
      <w:type w:val="continuous"/>
      <w:pgSz w:w="11906" w:h="16838"/>
      <w:pgMar w:top="1928" w:right="1134" w:bottom="1134" w:left="1134" w:header="454" w:footer="851"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5E0D3" w14:textId="77777777" w:rsidR="00840258" w:rsidRDefault="00840258" w:rsidP="00F137FA">
      <w:r>
        <w:separator/>
      </w:r>
    </w:p>
  </w:endnote>
  <w:endnote w:type="continuationSeparator" w:id="0">
    <w:p w14:paraId="43FB3F4A" w14:textId="77777777" w:rsidR="00840258" w:rsidRDefault="00840258" w:rsidP="00F13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B6" w14:textId="77777777" w:rsidR="00FE11DD" w:rsidRDefault="00FE11D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p w14:paraId="12254524" w14:textId="77777777" w:rsidR="00FE11DD" w:rsidRDefault="00FE11DD" w:rsidP="00FE11D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4F20" w14:textId="77777777" w:rsidR="00FE11DD" w:rsidRDefault="00FE11DD">
    <w:pPr>
      <w:pStyle w:val="Pidipagina"/>
      <w:framePr w:wrap="none" w:vAnchor="text" w:hAnchor="margin" w:xAlign="right" w:y="1"/>
      <w:rPr>
        <w:rStyle w:val="Numeropagina"/>
      </w:rPr>
    </w:pPr>
    <w:r w:rsidRPr="00EF3F90">
      <w:rPr>
        <w:rStyle w:val="Numeropagina"/>
        <w:rFonts w:ascii="Baskerville" w:hAnsi="Baskerville"/>
        <w:sz w:val="16"/>
        <w:szCs w:val="16"/>
      </w:rPr>
      <w:fldChar w:fldCharType="begin"/>
    </w:r>
    <w:r w:rsidRPr="00EF3F90">
      <w:rPr>
        <w:rStyle w:val="Numeropagina"/>
        <w:rFonts w:ascii="Baskerville" w:hAnsi="Baskerville"/>
        <w:sz w:val="16"/>
        <w:szCs w:val="16"/>
      </w:rPr>
      <w:instrText xml:space="preserve"> PAGE </w:instrText>
    </w:r>
    <w:r w:rsidRPr="00EF3F90">
      <w:rPr>
        <w:rStyle w:val="Numeropagina"/>
        <w:rFonts w:ascii="Baskerville" w:hAnsi="Baskerville"/>
        <w:sz w:val="16"/>
        <w:szCs w:val="16"/>
      </w:rPr>
      <w:fldChar w:fldCharType="separate"/>
    </w:r>
    <w:r w:rsidRPr="00EF3F90">
      <w:rPr>
        <w:rStyle w:val="Numeropagina"/>
        <w:rFonts w:ascii="Baskerville" w:hAnsi="Baskerville"/>
        <w:noProof/>
        <w:sz w:val="16"/>
        <w:szCs w:val="16"/>
      </w:rPr>
      <w:t>1</w:t>
    </w:r>
    <w:r w:rsidRPr="00EF3F90">
      <w:rPr>
        <w:rStyle w:val="Numeropagina"/>
        <w:rFonts w:ascii="Baskerville" w:hAnsi="Baskerville"/>
        <w:sz w:val="16"/>
        <w:szCs w:val="16"/>
      </w:rPr>
      <w:fldChar w:fldCharType="end"/>
    </w:r>
  </w:p>
  <w:p w14:paraId="48ED6893" w14:textId="77777777" w:rsidR="00FE11DD" w:rsidRDefault="008C4FF7" w:rsidP="00FE11DD">
    <w:pPr>
      <w:pStyle w:val="Pidipagina"/>
      <w:ind w:right="360"/>
    </w:pPr>
    <w:r>
      <w:rPr>
        <w:noProof/>
      </w:rPr>
      <mc:AlternateContent>
        <mc:Choice Requires="wps">
          <w:drawing>
            <wp:anchor distT="0" distB="0" distL="114300" distR="114300" simplePos="0" relativeHeight="251658240" behindDoc="0" locked="0" layoutInCell="1" allowOverlap="1" wp14:anchorId="24D86C03" wp14:editId="1DB47AEB">
              <wp:simplePos x="0" y="0"/>
              <wp:positionH relativeFrom="column">
                <wp:posOffset>-720090</wp:posOffset>
              </wp:positionH>
              <wp:positionV relativeFrom="paragraph">
                <wp:posOffset>415925</wp:posOffset>
              </wp:positionV>
              <wp:extent cx="7632700" cy="382270"/>
              <wp:effectExtent l="0" t="0" r="0" b="0"/>
              <wp:wrapNone/>
              <wp:docPr id="371887721"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32700" cy="382270"/>
                      </a:xfrm>
                      <a:prstGeom prst="rect">
                        <a:avLst/>
                      </a:prstGeom>
                      <a:solidFill>
                        <a:srgbClr val="D80000"/>
                      </a:solidFill>
                      <a:ln w="12700" cap="flat" cmpd="sng" algn="ctr">
                        <a:noFill/>
                        <a:prstDash val="solid"/>
                        <a:miter lim="800000"/>
                      </a:ln>
                      <a:effectLst/>
                    </wps:spPr>
                    <wps:txbx>
                      <w:txbxContent>
                        <w:p w14:paraId="408D8A4F" w14:textId="77777777" w:rsidR="00636554" w:rsidRPr="00444E8D" w:rsidRDefault="00FB3240" w:rsidP="00636554">
                          <w:pPr>
                            <w:spacing w:line="360" w:lineRule="auto"/>
                            <w:jc w:val="center"/>
                            <w:rPr>
                              <w:rFonts w:ascii="Baskerville" w:hAnsi="Baskerville"/>
                              <w:color w:val="FFFFFF"/>
                              <w:sz w:val="22"/>
                              <w:szCs w:val="22"/>
                            </w:rPr>
                          </w:pPr>
                          <w:hyperlink r:id="rId1" w:history="1">
                            <w:r w:rsidR="00636554" w:rsidRPr="00444E8D">
                              <w:rPr>
                                <w:rStyle w:val="Collegamentoipertestuale"/>
                                <w:rFonts w:ascii="Baskerville" w:hAnsi="Baskerville"/>
                                <w:color w:val="FFFFFF"/>
                                <w:sz w:val="22"/>
                                <w:szCs w:val="22"/>
                                <w:u w:val="none"/>
                              </w:rPr>
                              <w:t>www.deiustitia.it</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86C03" id="Rettangolo 5" o:spid="_x0000_s1026" style="position:absolute;margin-left:-56.7pt;margin-top:32.75pt;width:601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" fillcolor="#d80000" stroked="f" strokeweight="1pt">
              <v:textbox>
                <w:txbxContent>
                  <w:p w14:paraId="408D8A4F" w14:textId="77777777" w:rsidR="00636554" w:rsidRPr="00444E8D" w:rsidRDefault="00FB3240" w:rsidP="00636554">
                    <w:pPr>
                      <w:spacing w:line="360" w:lineRule="auto"/>
                      <w:jc w:val="center"/>
                      <w:rPr>
                        <w:rFonts w:ascii="Baskerville" w:hAnsi="Baskerville"/>
                        <w:color w:val="FFFFFF"/>
                        <w:sz w:val="22"/>
                        <w:szCs w:val="22"/>
                      </w:rPr>
                    </w:pPr>
                    <w:hyperlink r:id="rId2" w:history="1">
                      <w:r w:rsidR="00636554" w:rsidRPr="00444E8D">
                        <w:rPr>
                          <w:rStyle w:val="Collegamentoipertestuale"/>
                          <w:rFonts w:ascii="Baskerville" w:hAnsi="Baskerville"/>
                          <w:color w:val="FFFFFF"/>
                          <w:sz w:val="22"/>
                          <w:szCs w:val="22"/>
                          <w:u w:val="none"/>
                        </w:rPr>
                        <w:t>www.deiustitia.it</w:t>
                      </w:r>
                    </w:hyperlink>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257B" w14:textId="77777777" w:rsidR="00016BE8" w:rsidRDefault="00016B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F1950" w14:textId="77777777" w:rsidR="00840258" w:rsidRDefault="00840258" w:rsidP="00F137FA">
      <w:r>
        <w:separator/>
      </w:r>
    </w:p>
  </w:footnote>
  <w:footnote w:type="continuationSeparator" w:id="0">
    <w:p w14:paraId="23B85467" w14:textId="77777777" w:rsidR="00840258" w:rsidRDefault="00840258" w:rsidP="00F137FA">
      <w:r>
        <w:continuationSeparator/>
      </w:r>
    </w:p>
  </w:footnote>
  <w:footnote w:id="1">
    <w:p w14:paraId="11194256" w14:textId="77777777" w:rsidR="00EF0E2A" w:rsidRPr="00EF0E2A" w:rsidRDefault="00AB343C" w:rsidP="00F222C0">
      <w:pPr>
        <w:pStyle w:val="Testonotaapidipagina"/>
        <w:jc w:val="both"/>
        <w:rPr>
          <w:rFonts w:ascii="Baskerville" w:hAnsi="Baskerville"/>
          <w:sz w:val="18"/>
          <w:szCs w:val="18"/>
        </w:rPr>
      </w:pPr>
      <w:r w:rsidRPr="00EF0E2A">
        <w:rPr>
          <w:rStyle w:val="Rimandonotaapidipagina"/>
          <w:rFonts w:ascii="Baskerville" w:hAnsi="Baskerville"/>
          <w:sz w:val="18"/>
          <w:szCs w:val="18"/>
          <w:vertAlign w:val="baseline"/>
        </w:rPr>
        <w:t>*</w:t>
      </w:r>
      <w:r w:rsidRPr="00EF0E2A">
        <w:rPr>
          <w:rFonts w:ascii="Baskerville" w:hAnsi="Baskerville"/>
          <w:sz w:val="18"/>
          <w:szCs w:val="18"/>
        </w:rPr>
        <w:t xml:space="preserve"> </w:t>
      </w:r>
      <w:r w:rsidR="00EA2889">
        <w:rPr>
          <w:rFonts w:ascii="Baskerville" w:hAnsi="Baskerville"/>
          <w:sz w:val="18"/>
          <w:szCs w:val="18"/>
        </w:rPr>
        <w:t>Avvocato, d</w:t>
      </w:r>
      <w:r w:rsidR="00EF0E2A" w:rsidRPr="00EF0E2A">
        <w:rPr>
          <w:rFonts w:ascii="Baskerville" w:hAnsi="Baskerville"/>
          <w:sz w:val="18"/>
          <w:szCs w:val="18"/>
        </w:rPr>
        <w:t>ottor</w:t>
      </w:r>
      <w:r w:rsidR="00A775D5">
        <w:rPr>
          <w:rFonts w:ascii="Baskerville" w:hAnsi="Baskerville"/>
          <w:sz w:val="18"/>
          <w:szCs w:val="18"/>
        </w:rPr>
        <w:t>anda</w:t>
      </w:r>
      <w:r w:rsidR="00EF0E2A" w:rsidRPr="00EF0E2A">
        <w:rPr>
          <w:rFonts w:ascii="Baskerville" w:hAnsi="Baskerville"/>
          <w:sz w:val="18"/>
          <w:szCs w:val="18"/>
        </w:rPr>
        <w:t xml:space="preserve"> di ricerca in </w:t>
      </w:r>
      <w:r w:rsidR="00A775D5">
        <w:rPr>
          <w:rFonts w:ascii="Baskerville" w:hAnsi="Baskerville"/>
          <w:sz w:val="18"/>
          <w:szCs w:val="18"/>
        </w:rPr>
        <w:t>Law and Sustainability presso Università del Salento e cultrice della materia presso Università Cattolica del Sacro Cuore</w:t>
      </w:r>
      <w:r w:rsidR="00EF0E2A" w:rsidRPr="00EF0E2A">
        <w:rPr>
          <w:rFonts w:ascii="Baskerville" w:hAnsi="Baskerville"/>
          <w:sz w:val="18"/>
          <w:szCs w:val="18"/>
        </w:rPr>
        <w:t>.</w:t>
      </w:r>
      <w:r w:rsidR="00A775D5">
        <w:rPr>
          <w:rFonts w:ascii="Baskerville" w:hAnsi="Baskerville"/>
          <w:sz w:val="18"/>
          <w:szCs w:val="18"/>
        </w:rPr>
        <w:t xml:space="preserve"> </w:t>
      </w:r>
      <w:r w:rsidR="00EF0E2A" w:rsidRPr="00EF0E2A">
        <w:rPr>
          <w:rFonts w:ascii="Baskerville" w:hAnsi="Baskerville"/>
          <w:sz w:val="18"/>
          <w:szCs w:val="18"/>
        </w:rPr>
        <w:t xml:space="preserve">Componente del Comitato Editoriale della Rivista “De Iustitia”. </w:t>
      </w:r>
    </w:p>
    <w:p w14:paraId="11128901" w14:textId="77777777" w:rsidR="003F570F" w:rsidRPr="003F570F" w:rsidRDefault="003F570F" w:rsidP="00F222C0">
      <w:pPr>
        <w:pStyle w:val="Testonotaapidipagina"/>
        <w:jc w:val="both"/>
        <w:rPr>
          <w:rFonts w:ascii="Baskerville" w:hAnsi="Baskerville"/>
          <w:sz w:val="18"/>
          <w:szCs w:val="18"/>
        </w:rPr>
      </w:pPr>
    </w:p>
  </w:footnote>
  <w:footnote w:id="2">
    <w:p w14:paraId="0F1EA1D7" w14:textId="77777777" w:rsidR="00AB343C" w:rsidRPr="00AB343C" w:rsidRDefault="00AB343C" w:rsidP="00F222C0">
      <w:pPr>
        <w:pStyle w:val="Testonotaapidipagina"/>
        <w:jc w:val="both"/>
        <w:rPr>
          <w:rFonts w:ascii="Baskerville" w:hAnsi="Baskerville"/>
          <w:sz w:val="18"/>
          <w:szCs w:val="18"/>
        </w:rPr>
      </w:pPr>
      <w:r w:rsidRPr="00AB343C">
        <w:rPr>
          <w:rStyle w:val="Rimandonotaapidipagina"/>
          <w:rFonts w:ascii="Baskerville" w:hAnsi="Baskerville"/>
          <w:sz w:val="18"/>
          <w:szCs w:val="18"/>
        </w:rPr>
        <w:footnoteRef/>
      </w:r>
      <w:r w:rsidRPr="00AB343C">
        <w:rPr>
          <w:rFonts w:ascii="Baskerville" w:hAnsi="Baskerville"/>
          <w:sz w:val="18"/>
          <w:szCs w:val="18"/>
        </w:rPr>
        <w:t xml:space="preserve"> </w:t>
      </w:r>
      <w:r>
        <w:rPr>
          <w:rFonts w:ascii="Baskerville" w:hAnsi="Baskerville"/>
          <w:sz w:val="18"/>
          <w:szCs w:val="18"/>
        </w:rPr>
        <w:t>Massima n</w:t>
      </w:r>
      <w:r w:rsidRPr="00AB343C">
        <w:rPr>
          <w:rFonts w:ascii="Baskerville" w:hAnsi="Baskerville"/>
          <w:sz w:val="18"/>
          <w:szCs w:val="18"/>
        </w:rPr>
        <w:t>on ufficiale</w:t>
      </w:r>
      <w:r>
        <w:rPr>
          <w:rFonts w:ascii="Baskerville" w:hAnsi="Baskerville"/>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0626" w14:textId="77777777" w:rsidR="005C1396" w:rsidRDefault="005C139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536" w:type="dxa"/>
      <w:tblInd w:w="5103" w:type="dxa"/>
      <w:tblBorders>
        <w:insideH w:val="single" w:sz="12" w:space="0" w:color="E7E6E6"/>
      </w:tblBorders>
      <w:tblLook w:val="04A0" w:firstRow="1" w:lastRow="0" w:firstColumn="1" w:lastColumn="0" w:noHBand="0" w:noVBand="1"/>
    </w:tblPr>
    <w:tblGrid>
      <w:gridCol w:w="3119"/>
      <w:gridCol w:w="1417"/>
    </w:tblGrid>
    <w:tr w:rsidR="009135C8" w:rsidRPr="00444E8D" w14:paraId="5D579823" w14:textId="77777777" w:rsidTr="00444E8D">
      <w:trPr>
        <w:trHeight w:val="510"/>
      </w:trPr>
      <w:tc>
        <w:tcPr>
          <w:tcW w:w="3119" w:type="dxa"/>
          <w:tcBorders>
            <w:bottom w:val="single" w:sz="4" w:space="0" w:color="D80000"/>
          </w:tcBorders>
          <w:vAlign w:val="center"/>
        </w:tcPr>
        <w:p w14:paraId="5F4A5F3F" w14:textId="77777777" w:rsidR="006E3511" w:rsidRPr="00444E8D" w:rsidRDefault="006E3511" w:rsidP="006E3511">
          <w:pPr>
            <w:rPr>
              <w:rFonts w:ascii="Baskerville" w:hAnsi="Baskerville"/>
              <w:color w:val="A6A6A6"/>
              <w:sz w:val="16"/>
              <w:szCs w:val="16"/>
            </w:rPr>
          </w:pPr>
          <w:r w:rsidRPr="00444E8D">
            <w:rPr>
              <w:rFonts w:ascii="Baskerville" w:hAnsi="Baskerville"/>
              <w:sz w:val="16"/>
              <w:szCs w:val="16"/>
            </w:rPr>
            <w:t>Rivista scientifica</w:t>
          </w:r>
        </w:p>
      </w:tc>
      <w:tc>
        <w:tcPr>
          <w:tcW w:w="1417" w:type="dxa"/>
          <w:tcBorders>
            <w:bottom w:val="single" w:sz="4" w:space="0" w:color="D80000"/>
          </w:tcBorders>
          <w:vAlign w:val="center"/>
        </w:tcPr>
        <w:p w14:paraId="4334D837" w14:textId="77777777" w:rsidR="006E3511" w:rsidRPr="00444E8D" w:rsidRDefault="00AB343C" w:rsidP="006E3511">
          <w:pPr>
            <w:jc w:val="right"/>
            <w:rPr>
              <w:rFonts w:ascii="Baskerville" w:hAnsi="Baskerville"/>
              <w:color w:val="585856"/>
              <w:sz w:val="16"/>
              <w:szCs w:val="16"/>
            </w:rPr>
          </w:pPr>
          <w:r w:rsidRPr="00444E8D">
            <w:rPr>
              <w:rFonts w:ascii="Baskerville" w:hAnsi="Baskerville"/>
              <w:color w:val="585856"/>
              <w:sz w:val="16"/>
              <w:szCs w:val="16"/>
            </w:rPr>
            <w:t>RASSEGNA</w:t>
          </w:r>
        </w:p>
      </w:tc>
    </w:tr>
    <w:tr w:rsidR="009135C8" w:rsidRPr="00444E8D" w14:paraId="0C2034E8" w14:textId="77777777" w:rsidTr="00444E8D">
      <w:trPr>
        <w:trHeight w:val="510"/>
      </w:trPr>
      <w:tc>
        <w:tcPr>
          <w:tcW w:w="3119" w:type="dxa"/>
          <w:tcBorders>
            <w:top w:val="single" w:sz="4" w:space="0" w:color="D80000"/>
          </w:tcBorders>
          <w:vAlign w:val="center"/>
        </w:tcPr>
        <w:p w14:paraId="04744E9C" w14:textId="77777777" w:rsidR="006E3511" w:rsidRPr="00444E8D" w:rsidRDefault="006E3511" w:rsidP="006E3511">
          <w:pPr>
            <w:rPr>
              <w:rFonts w:ascii="Baskerville" w:hAnsi="Baskerville"/>
              <w:color w:val="A6A6A6"/>
              <w:sz w:val="16"/>
              <w:szCs w:val="16"/>
            </w:rPr>
          </w:pPr>
        </w:p>
        <w:p w14:paraId="7CF86C9E" w14:textId="77777777" w:rsidR="006E3511" w:rsidRPr="00444E8D" w:rsidRDefault="008126B8" w:rsidP="006E3511">
          <w:pPr>
            <w:rPr>
              <w:rFonts w:ascii="Baskerville" w:hAnsi="Baskerville"/>
              <w:color w:val="585856"/>
              <w:sz w:val="16"/>
              <w:szCs w:val="16"/>
            </w:rPr>
          </w:pPr>
          <w:r w:rsidRPr="00444E8D">
            <w:rPr>
              <w:rFonts w:ascii="Baskerville" w:hAnsi="Baskerville"/>
              <w:color w:val="585856"/>
              <w:sz w:val="16"/>
              <w:szCs w:val="16"/>
            </w:rPr>
            <w:t>CASSAZIONE</w:t>
          </w:r>
          <w:r w:rsidR="00CE174C" w:rsidRPr="00444E8D">
            <w:rPr>
              <w:rFonts w:ascii="Baskerville" w:hAnsi="Baskerville"/>
              <w:color w:val="585856"/>
              <w:sz w:val="16"/>
              <w:szCs w:val="16"/>
            </w:rPr>
            <w:t xml:space="preserve"> PENALE</w:t>
          </w:r>
        </w:p>
        <w:p w14:paraId="616BE135" w14:textId="77777777" w:rsidR="00CE174C" w:rsidRPr="00444E8D" w:rsidRDefault="00CE174C" w:rsidP="006E3511">
          <w:pPr>
            <w:rPr>
              <w:rFonts w:ascii="Baskerville" w:hAnsi="Baskerville"/>
              <w:color w:val="585856"/>
              <w:sz w:val="16"/>
              <w:szCs w:val="16"/>
            </w:rPr>
          </w:pPr>
        </w:p>
      </w:tc>
      <w:tc>
        <w:tcPr>
          <w:tcW w:w="1417" w:type="dxa"/>
          <w:tcBorders>
            <w:top w:val="single" w:sz="4" w:space="0" w:color="D80000"/>
          </w:tcBorders>
          <w:vAlign w:val="center"/>
        </w:tcPr>
        <w:p w14:paraId="02AB992E" w14:textId="77777777" w:rsidR="006E3511" w:rsidRPr="00444E8D" w:rsidRDefault="00043905" w:rsidP="00071D38">
          <w:pPr>
            <w:jc w:val="right"/>
            <w:rPr>
              <w:rFonts w:ascii="Baskerville" w:hAnsi="Baskerville"/>
              <w:color w:val="585856"/>
              <w:sz w:val="16"/>
              <w:szCs w:val="16"/>
            </w:rPr>
          </w:pPr>
          <w:r w:rsidRPr="00444E8D">
            <w:rPr>
              <w:rFonts w:ascii="Baskerville" w:hAnsi="Baskerville"/>
              <w:color w:val="585856"/>
              <w:sz w:val="16"/>
              <w:szCs w:val="16"/>
            </w:rPr>
            <w:t>ISSN 2974-7562</w:t>
          </w:r>
        </w:p>
      </w:tc>
    </w:tr>
  </w:tbl>
  <w:p w14:paraId="4A9A6ECA" w14:textId="77777777" w:rsidR="00F137FA" w:rsidRPr="00071D38" w:rsidRDefault="008C4FF7">
    <w:pPr>
      <w:pStyle w:val="Intestazione"/>
      <w:rPr>
        <w:rFonts w:ascii="Baskerville" w:hAnsi="Baskerville"/>
      </w:rPr>
    </w:pPr>
    <w:r>
      <w:rPr>
        <w:noProof/>
      </w:rPr>
      <w:drawing>
        <wp:anchor distT="0" distB="0" distL="114300" distR="114300" simplePos="0" relativeHeight="251657216" behindDoc="1" locked="0" layoutInCell="1" allowOverlap="1" wp14:anchorId="797EE8FE" wp14:editId="14BD48F8">
          <wp:simplePos x="0" y="0"/>
          <wp:positionH relativeFrom="column">
            <wp:posOffset>-157480</wp:posOffset>
          </wp:positionH>
          <wp:positionV relativeFrom="paragraph">
            <wp:posOffset>-944880</wp:posOffset>
          </wp:positionV>
          <wp:extent cx="1162050" cy="1162050"/>
          <wp:effectExtent l="0" t="0" r="0" b="0"/>
          <wp:wrapNone/>
          <wp:docPr id="2" name="Immagin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CBCD" w14:textId="77777777" w:rsidR="005C1396" w:rsidRDefault="005C13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990"/>
    <w:multiLevelType w:val="multilevel"/>
    <w:tmpl w:val="8AA67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DB500B"/>
    <w:multiLevelType w:val="multilevel"/>
    <w:tmpl w:val="D2DCF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E06B73"/>
    <w:multiLevelType w:val="hybridMultilevel"/>
    <w:tmpl w:val="2568668C"/>
    <w:lvl w:ilvl="0" w:tplc="7660D77E">
      <w:start w:val="1"/>
      <w:numFmt w:val="decimal"/>
      <w:pStyle w:val="Titolo1"/>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2B2FF6"/>
    <w:multiLevelType w:val="multilevel"/>
    <w:tmpl w:val="65D6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65F19"/>
    <w:multiLevelType w:val="hybridMultilevel"/>
    <w:tmpl w:val="598CA706"/>
    <w:lvl w:ilvl="0" w:tplc="E0B8829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8391D9C"/>
    <w:multiLevelType w:val="hybridMultilevel"/>
    <w:tmpl w:val="467C8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232F5"/>
    <w:multiLevelType w:val="hybridMultilevel"/>
    <w:tmpl w:val="AA146AB2"/>
    <w:lvl w:ilvl="0" w:tplc="46DA82A6">
      <w:numFmt w:val="bullet"/>
      <w:lvlText w:val="-"/>
      <w:lvlJc w:val="left"/>
      <w:pPr>
        <w:ind w:left="717" w:hanging="360"/>
      </w:pPr>
      <w:rPr>
        <w:rFonts w:ascii="Baskerville" w:eastAsia="Calibri" w:hAnsi="Baskerville" w:cs="Times New Roman"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7" w15:restartNumberingAfterBreak="0">
    <w:nsid w:val="45B0399F"/>
    <w:multiLevelType w:val="multilevel"/>
    <w:tmpl w:val="B5B6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F35FE2"/>
    <w:multiLevelType w:val="hybridMultilevel"/>
    <w:tmpl w:val="E13C70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8B6257"/>
    <w:multiLevelType w:val="hybridMultilevel"/>
    <w:tmpl w:val="49DE1D8A"/>
    <w:lvl w:ilvl="0" w:tplc="B18846E6">
      <w:numFmt w:val="bullet"/>
      <w:lvlText w:val="-"/>
      <w:lvlJc w:val="left"/>
      <w:pPr>
        <w:ind w:left="717" w:hanging="360"/>
      </w:pPr>
      <w:rPr>
        <w:rFonts w:ascii="Baskerville" w:eastAsia="Calibri" w:hAnsi="Baskerville" w:cs="Times New Roman"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10" w15:restartNumberingAfterBreak="0">
    <w:nsid w:val="6F4F6C57"/>
    <w:multiLevelType w:val="hybridMultilevel"/>
    <w:tmpl w:val="9528C800"/>
    <w:lvl w:ilvl="0" w:tplc="620E1958">
      <w:numFmt w:val="bullet"/>
      <w:lvlText w:val="-"/>
      <w:lvlJc w:val="left"/>
      <w:pPr>
        <w:ind w:left="717" w:hanging="360"/>
      </w:pPr>
      <w:rPr>
        <w:rFonts w:ascii="Baskerville" w:eastAsia="Calibri" w:hAnsi="Baskerville" w:cs="Times New Roman"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11" w15:restartNumberingAfterBreak="0">
    <w:nsid w:val="6F6D77F2"/>
    <w:multiLevelType w:val="hybridMultilevel"/>
    <w:tmpl w:val="98FC721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75812EAF"/>
    <w:multiLevelType w:val="hybridMultilevel"/>
    <w:tmpl w:val="06368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10605086">
    <w:abstractNumId w:val="7"/>
  </w:num>
  <w:num w:numId="2" w16cid:durableId="1742557507">
    <w:abstractNumId w:val="2"/>
  </w:num>
  <w:num w:numId="3" w16cid:durableId="788863508">
    <w:abstractNumId w:val="2"/>
    <w:lvlOverride w:ilvl="0">
      <w:startOverride w:val="1"/>
    </w:lvlOverride>
  </w:num>
  <w:num w:numId="4" w16cid:durableId="804540349">
    <w:abstractNumId w:val="2"/>
  </w:num>
  <w:num w:numId="5" w16cid:durableId="1491941215">
    <w:abstractNumId w:val="2"/>
  </w:num>
  <w:num w:numId="6" w16cid:durableId="2021858890">
    <w:abstractNumId w:val="2"/>
  </w:num>
  <w:num w:numId="7" w16cid:durableId="806823937">
    <w:abstractNumId w:val="2"/>
  </w:num>
  <w:num w:numId="8" w16cid:durableId="1966112498">
    <w:abstractNumId w:val="12"/>
  </w:num>
  <w:num w:numId="9" w16cid:durableId="1671790446">
    <w:abstractNumId w:val="4"/>
  </w:num>
  <w:num w:numId="10" w16cid:durableId="1924410055">
    <w:abstractNumId w:val="9"/>
  </w:num>
  <w:num w:numId="11" w16cid:durableId="1356150140">
    <w:abstractNumId w:val="6"/>
  </w:num>
  <w:num w:numId="12" w16cid:durableId="76757720">
    <w:abstractNumId w:val="10"/>
  </w:num>
  <w:num w:numId="13" w16cid:durableId="941645723">
    <w:abstractNumId w:val="0"/>
  </w:num>
  <w:num w:numId="14" w16cid:durableId="455179362">
    <w:abstractNumId w:val="3"/>
  </w:num>
  <w:num w:numId="15" w16cid:durableId="91243459">
    <w:abstractNumId w:val="1"/>
  </w:num>
  <w:num w:numId="16" w16cid:durableId="1325284655">
    <w:abstractNumId w:val="11"/>
  </w:num>
  <w:num w:numId="17" w16cid:durableId="1743209577">
    <w:abstractNumId w:val="5"/>
  </w:num>
  <w:num w:numId="18" w16cid:durableId="1017929041">
    <w:abstractNumId w:val="8"/>
  </w:num>
  <w:num w:numId="19" w16cid:durableId="69265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hideSpellingErrors/>
  <w:hideGrammaticalErrors/>
  <w:attachedTemplate r:id="rId1"/>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3C"/>
    <w:rsid w:val="00010120"/>
    <w:rsid w:val="00016BE8"/>
    <w:rsid w:val="000170D7"/>
    <w:rsid w:val="00017EB4"/>
    <w:rsid w:val="0002265F"/>
    <w:rsid w:val="000405FA"/>
    <w:rsid w:val="00043905"/>
    <w:rsid w:val="000516A1"/>
    <w:rsid w:val="00063B21"/>
    <w:rsid w:val="000644BF"/>
    <w:rsid w:val="00064966"/>
    <w:rsid w:val="00071D38"/>
    <w:rsid w:val="00085CCC"/>
    <w:rsid w:val="0009062F"/>
    <w:rsid w:val="000A11A3"/>
    <w:rsid w:val="000A26DA"/>
    <w:rsid w:val="000A7D34"/>
    <w:rsid w:val="000B57FB"/>
    <w:rsid w:val="000B6947"/>
    <w:rsid w:val="000D1C3C"/>
    <w:rsid w:val="000F5850"/>
    <w:rsid w:val="001113F6"/>
    <w:rsid w:val="00127062"/>
    <w:rsid w:val="0013484B"/>
    <w:rsid w:val="001472C0"/>
    <w:rsid w:val="00150AE0"/>
    <w:rsid w:val="0018141B"/>
    <w:rsid w:val="001902E4"/>
    <w:rsid w:val="001A5F6B"/>
    <w:rsid w:val="001B50E5"/>
    <w:rsid w:val="001C1801"/>
    <w:rsid w:val="001C1E29"/>
    <w:rsid w:val="001F6A38"/>
    <w:rsid w:val="00203757"/>
    <w:rsid w:val="00260B62"/>
    <w:rsid w:val="002650B7"/>
    <w:rsid w:val="00275D3B"/>
    <w:rsid w:val="002A23E8"/>
    <w:rsid w:val="002A4A71"/>
    <w:rsid w:val="002C1891"/>
    <w:rsid w:val="002E7131"/>
    <w:rsid w:val="002F1097"/>
    <w:rsid w:val="002F1E9F"/>
    <w:rsid w:val="00302B0B"/>
    <w:rsid w:val="003318D0"/>
    <w:rsid w:val="00345F08"/>
    <w:rsid w:val="00346F67"/>
    <w:rsid w:val="003510DD"/>
    <w:rsid w:val="003537B4"/>
    <w:rsid w:val="003601C1"/>
    <w:rsid w:val="00377BEE"/>
    <w:rsid w:val="00385098"/>
    <w:rsid w:val="003A3A31"/>
    <w:rsid w:val="003B696D"/>
    <w:rsid w:val="003E6C59"/>
    <w:rsid w:val="003F570F"/>
    <w:rsid w:val="00416868"/>
    <w:rsid w:val="004175E8"/>
    <w:rsid w:val="00417995"/>
    <w:rsid w:val="0042020E"/>
    <w:rsid w:val="00432C1F"/>
    <w:rsid w:val="00435BCE"/>
    <w:rsid w:val="00444E8D"/>
    <w:rsid w:val="004B21D2"/>
    <w:rsid w:val="004B366C"/>
    <w:rsid w:val="004B473F"/>
    <w:rsid w:val="004C1BE5"/>
    <w:rsid w:val="004D2E05"/>
    <w:rsid w:val="004F199D"/>
    <w:rsid w:val="005211CE"/>
    <w:rsid w:val="00532623"/>
    <w:rsid w:val="0055731D"/>
    <w:rsid w:val="005660CC"/>
    <w:rsid w:val="00566567"/>
    <w:rsid w:val="00567778"/>
    <w:rsid w:val="005A6880"/>
    <w:rsid w:val="005B74B6"/>
    <w:rsid w:val="005C1396"/>
    <w:rsid w:val="005C2E12"/>
    <w:rsid w:val="005C4A32"/>
    <w:rsid w:val="005F510A"/>
    <w:rsid w:val="00636554"/>
    <w:rsid w:val="00654FBF"/>
    <w:rsid w:val="006D4340"/>
    <w:rsid w:val="006E3511"/>
    <w:rsid w:val="00730672"/>
    <w:rsid w:val="00735A10"/>
    <w:rsid w:val="00740AB4"/>
    <w:rsid w:val="00776BA0"/>
    <w:rsid w:val="00797B64"/>
    <w:rsid w:val="007A513A"/>
    <w:rsid w:val="007B1C81"/>
    <w:rsid w:val="007B39DE"/>
    <w:rsid w:val="007B6F0F"/>
    <w:rsid w:val="007C5FB8"/>
    <w:rsid w:val="007D6E3D"/>
    <w:rsid w:val="007E3899"/>
    <w:rsid w:val="007F3CAC"/>
    <w:rsid w:val="008121C2"/>
    <w:rsid w:val="008126B8"/>
    <w:rsid w:val="00835136"/>
    <w:rsid w:val="00836F47"/>
    <w:rsid w:val="00840258"/>
    <w:rsid w:val="008608BA"/>
    <w:rsid w:val="00867A1F"/>
    <w:rsid w:val="00891B0F"/>
    <w:rsid w:val="008B045E"/>
    <w:rsid w:val="008C4FF7"/>
    <w:rsid w:val="008E7285"/>
    <w:rsid w:val="008F08E7"/>
    <w:rsid w:val="009135C8"/>
    <w:rsid w:val="00914674"/>
    <w:rsid w:val="009252A1"/>
    <w:rsid w:val="00943814"/>
    <w:rsid w:val="00973D4D"/>
    <w:rsid w:val="00987539"/>
    <w:rsid w:val="009934A2"/>
    <w:rsid w:val="009A1710"/>
    <w:rsid w:val="009D3305"/>
    <w:rsid w:val="009F434F"/>
    <w:rsid w:val="00A05A8A"/>
    <w:rsid w:val="00A17DDC"/>
    <w:rsid w:val="00A32840"/>
    <w:rsid w:val="00A46D60"/>
    <w:rsid w:val="00A52BCF"/>
    <w:rsid w:val="00A71A55"/>
    <w:rsid w:val="00A775D5"/>
    <w:rsid w:val="00A8402C"/>
    <w:rsid w:val="00A90D14"/>
    <w:rsid w:val="00AB343C"/>
    <w:rsid w:val="00AE15A0"/>
    <w:rsid w:val="00AF1598"/>
    <w:rsid w:val="00B343DC"/>
    <w:rsid w:val="00B35A08"/>
    <w:rsid w:val="00B40F0D"/>
    <w:rsid w:val="00B4354E"/>
    <w:rsid w:val="00B9103C"/>
    <w:rsid w:val="00B96F92"/>
    <w:rsid w:val="00BC4A86"/>
    <w:rsid w:val="00BC65A3"/>
    <w:rsid w:val="00BD5040"/>
    <w:rsid w:val="00BF0A4B"/>
    <w:rsid w:val="00BF6617"/>
    <w:rsid w:val="00C14B8A"/>
    <w:rsid w:val="00C311C7"/>
    <w:rsid w:val="00C502A7"/>
    <w:rsid w:val="00C83E80"/>
    <w:rsid w:val="00C87826"/>
    <w:rsid w:val="00C87D3A"/>
    <w:rsid w:val="00CA2F5D"/>
    <w:rsid w:val="00CB10DF"/>
    <w:rsid w:val="00CB17C5"/>
    <w:rsid w:val="00CC3D6E"/>
    <w:rsid w:val="00CC79B7"/>
    <w:rsid w:val="00CE174C"/>
    <w:rsid w:val="00CE4AD7"/>
    <w:rsid w:val="00CF3ACA"/>
    <w:rsid w:val="00D03C59"/>
    <w:rsid w:val="00D403E2"/>
    <w:rsid w:val="00D530B2"/>
    <w:rsid w:val="00D56149"/>
    <w:rsid w:val="00D627E5"/>
    <w:rsid w:val="00D92DF7"/>
    <w:rsid w:val="00DD3611"/>
    <w:rsid w:val="00DD6739"/>
    <w:rsid w:val="00E15EAB"/>
    <w:rsid w:val="00E16B9F"/>
    <w:rsid w:val="00E16C3B"/>
    <w:rsid w:val="00E20179"/>
    <w:rsid w:val="00E2257D"/>
    <w:rsid w:val="00E237D8"/>
    <w:rsid w:val="00E31A09"/>
    <w:rsid w:val="00E34FA7"/>
    <w:rsid w:val="00E838F8"/>
    <w:rsid w:val="00E860A3"/>
    <w:rsid w:val="00EA2889"/>
    <w:rsid w:val="00EE337C"/>
    <w:rsid w:val="00EE34B6"/>
    <w:rsid w:val="00EE511B"/>
    <w:rsid w:val="00EF0E2A"/>
    <w:rsid w:val="00EF3F90"/>
    <w:rsid w:val="00F02815"/>
    <w:rsid w:val="00F137FA"/>
    <w:rsid w:val="00F21BBB"/>
    <w:rsid w:val="00F222C0"/>
    <w:rsid w:val="00F563C5"/>
    <w:rsid w:val="00F57A99"/>
    <w:rsid w:val="00F652E6"/>
    <w:rsid w:val="00F82734"/>
    <w:rsid w:val="00F94BF0"/>
    <w:rsid w:val="00FB3240"/>
    <w:rsid w:val="00FC3DD8"/>
    <w:rsid w:val="00FE11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0416C"/>
  <w15:chartTrackingRefBased/>
  <w15:docId w15:val="{3F45A344-7759-124A-AE55-D855D752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74B6"/>
    <w:rPr>
      <w:rFonts w:ascii="Times New Roman" w:eastAsia="Times New Roman" w:hAnsi="Times New Roman"/>
      <w:sz w:val="24"/>
      <w:szCs w:val="24"/>
    </w:rPr>
  </w:style>
  <w:style w:type="paragraph" w:styleId="Titolo1">
    <w:name w:val="heading 1"/>
    <w:basedOn w:val="Paragrafoelenco"/>
    <w:next w:val="Normale"/>
    <w:link w:val="Titolo1Carattere"/>
    <w:uiPriority w:val="9"/>
    <w:qFormat/>
    <w:rsid w:val="00D403E2"/>
    <w:pPr>
      <w:numPr>
        <w:numId w:val="2"/>
      </w:numPr>
      <w:spacing w:line="360" w:lineRule="auto"/>
      <w:jc w:val="both"/>
      <w:outlineLvl w:val="0"/>
    </w:pPr>
    <w:rPr>
      <w:rFonts w:ascii="Baskerville" w:hAnsi="Baskerville" w:cs="Segoe UI"/>
      <w:b/>
      <w:bCs/>
      <w:i/>
      <w:iCs/>
      <w:color w:val="000000"/>
      <w:sz w:val="22"/>
      <w:szCs w:val="22"/>
    </w:rPr>
  </w:style>
  <w:style w:type="paragraph" w:styleId="Titolo2">
    <w:name w:val="heading 2"/>
    <w:basedOn w:val="Normale"/>
    <w:next w:val="Normale"/>
    <w:link w:val="Titolo2Carattere"/>
    <w:uiPriority w:val="9"/>
    <w:semiHidden/>
    <w:unhideWhenUsed/>
    <w:qFormat/>
    <w:rsid w:val="00E20179"/>
    <w:pPr>
      <w:keepNext/>
      <w:keepLines/>
      <w:spacing w:before="40"/>
      <w:outlineLvl w:val="1"/>
    </w:pPr>
    <w:rPr>
      <w:rFonts w:ascii="Calibri Light" w:hAnsi="Calibri Light"/>
      <w:color w:val="2F5496"/>
      <w:sz w:val="26"/>
      <w:szCs w:val="26"/>
    </w:rPr>
  </w:style>
  <w:style w:type="paragraph" w:styleId="Titolo9">
    <w:name w:val="heading 9"/>
    <w:basedOn w:val="Normale"/>
    <w:next w:val="Normale"/>
    <w:link w:val="Titolo9Carattere"/>
    <w:uiPriority w:val="9"/>
    <w:semiHidden/>
    <w:unhideWhenUsed/>
    <w:qFormat/>
    <w:rsid w:val="00F222C0"/>
    <w:p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137FA"/>
    <w:pPr>
      <w:spacing w:before="100" w:beforeAutospacing="1" w:after="100" w:afterAutospacing="1"/>
    </w:pPr>
  </w:style>
  <w:style w:type="character" w:customStyle="1" w:styleId="apple-converted-space">
    <w:name w:val="apple-converted-space"/>
    <w:basedOn w:val="Carpredefinitoparagrafo"/>
    <w:rsid w:val="00F137FA"/>
  </w:style>
  <w:style w:type="character" w:styleId="Collegamentoipertestuale">
    <w:name w:val="Hyperlink"/>
    <w:uiPriority w:val="99"/>
    <w:unhideWhenUsed/>
    <w:rsid w:val="00F137FA"/>
    <w:rPr>
      <w:color w:val="0000FF"/>
      <w:u w:val="single"/>
    </w:rPr>
  </w:style>
  <w:style w:type="character" w:styleId="Enfasigrassetto">
    <w:name w:val="Strong"/>
    <w:uiPriority w:val="22"/>
    <w:qFormat/>
    <w:rsid w:val="00F137FA"/>
    <w:rPr>
      <w:b/>
      <w:bCs/>
    </w:rPr>
  </w:style>
  <w:style w:type="paragraph" w:styleId="Intestazione">
    <w:name w:val="header"/>
    <w:basedOn w:val="Normale"/>
    <w:link w:val="IntestazioneCarattere"/>
    <w:uiPriority w:val="99"/>
    <w:unhideWhenUsed/>
    <w:rsid w:val="00F137FA"/>
    <w:pPr>
      <w:tabs>
        <w:tab w:val="center" w:pos="4819"/>
        <w:tab w:val="right" w:pos="9638"/>
      </w:tabs>
    </w:pPr>
  </w:style>
  <w:style w:type="character" w:customStyle="1" w:styleId="IntestazioneCarattere">
    <w:name w:val="Intestazione Carattere"/>
    <w:basedOn w:val="Carpredefinitoparagrafo"/>
    <w:link w:val="Intestazione"/>
    <w:uiPriority w:val="99"/>
    <w:rsid w:val="00F137FA"/>
  </w:style>
  <w:style w:type="paragraph" w:styleId="Pidipagina">
    <w:name w:val="footer"/>
    <w:basedOn w:val="Normale"/>
    <w:link w:val="PidipaginaCarattere"/>
    <w:uiPriority w:val="99"/>
    <w:unhideWhenUsed/>
    <w:rsid w:val="00F137FA"/>
    <w:pPr>
      <w:tabs>
        <w:tab w:val="center" w:pos="4819"/>
        <w:tab w:val="right" w:pos="9638"/>
      </w:tabs>
    </w:pPr>
  </w:style>
  <w:style w:type="character" w:customStyle="1" w:styleId="PidipaginaCarattere">
    <w:name w:val="Piè di pagina Carattere"/>
    <w:basedOn w:val="Carpredefinitoparagrafo"/>
    <w:link w:val="Pidipagina"/>
    <w:uiPriority w:val="99"/>
    <w:rsid w:val="00F137FA"/>
  </w:style>
  <w:style w:type="character" w:styleId="Numeropagina">
    <w:name w:val="page number"/>
    <w:basedOn w:val="Carpredefinitoparagrafo"/>
    <w:uiPriority w:val="99"/>
    <w:semiHidden/>
    <w:unhideWhenUsed/>
    <w:rsid w:val="00FE11DD"/>
  </w:style>
  <w:style w:type="paragraph" w:styleId="Paragrafoelenco">
    <w:name w:val="List Paragraph"/>
    <w:basedOn w:val="Normale"/>
    <w:uiPriority w:val="34"/>
    <w:qFormat/>
    <w:rsid w:val="00D403E2"/>
    <w:pPr>
      <w:ind w:left="720"/>
      <w:contextualSpacing/>
    </w:pPr>
  </w:style>
  <w:style w:type="character" w:customStyle="1" w:styleId="Titolo1Carattere">
    <w:name w:val="Titolo 1 Carattere"/>
    <w:link w:val="Titolo1"/>
    <w:uiPriority w:val="9"/>
    <w:rsid w:val="00D403E2"/>
    <w:rPr>
      <w:rFonts w:ascii="Baskerville" w:eastAsia="Times New Roman" w:hAnsi="Baskerville" w:cs="Segoe UI"/>
      <w:b/>
      <w:bCs/>
      <w:i/>
      <w:iCs/>
      <w:color w:val="000000"/>
      <w:kern w:val="0"/>
      <w:sz w:val="22"/>
      <w:szCs w:val="22"/>
      <w:lang w:eastAsia="it-IT"/>
    </w:rPr>
  </w:style>
  <w:style w:type="paragraph" w:styleId="Titolosommario">
    <w:name w:val="TOC Heading"/>
    <w:basedOn w:val="Titolo1"/>
    <w:next w:val="Normale"/>
    <w:uiPriority w:val="39"/>
    <w:unhideWhenUsed/>
    <w:qFormat/>
    <w:rsid w:val="00D403E2"/>
    <w:pPr>
      <w:spacing w:before="480" w:line="276" w:lineRule="auto"/>
      <w:outlineLvl w:val="9"/>
    </w:pPr>
    <w:rPr>
      <w:b w:val="0"/>
      <w:bCs w:val="0"/>
      <w:sz w:val="28"/>
      <w:szCs w:val="28"/>
    </w:rPr>
  </w:style>
  <w:style w:type="paragraph" w:styleId="Sommario1">
    <w:name w:val="toc 1"/>
    <w:basedOn w:val="Normale"/>
    <w:next w:val="Normale"/>
    <w:autoRedefine/>
    <w:uiPriority w:val="39"/>
    <w:unhideWhenUsed/>
    <w:rsid w:val="003F570F"/>
    <w:pPr>
      <w:tabs>
        <w:tab w:val="right" w:leader="dot" w:pos="4455"/>
      </w:tabs>
      <w:spacing w:before="120"/>
    </w:pPr>
    <w:rPr>
      <w:rFonts w:ascii="Baskerville" w:hAnsi="Baskerville" w:cs="Calibri"/>
      <w:b/>
      <w:bCs/>
      <w:iCs/>
      <w:sz w:val="22"/>
    </w:rPr>
  </w:style>
  <w:style w:type="paragraph" w:styleId="Sommario2">
    <w:name w:val="toc 2"/>
    <w:basedOn w:val="Normale"/>
    <w:next w:val="Normale"/>
    <w:autoRedefine/>
    <w:uiPriority w:val="39"/>
    <w:semiHidden/>
    <w:unhideWhenUsed/>
    <w:rsid w:val="00A05A8A"/>
    <w:pPr>
      <w:spacing w:before="120"/>
      <w:ind w:left="240"/>
    </w:pPr>
    <w:rPr>
      <w:rFonts w:ascii="Baskerville" w:hAnsi="Baskerville" w:cs="Calibri"/>
      <w:b/>
      <w:bCs/>
      <w:sz w:val="22"/>
      <w:szCs w:val="22"/>
    </w:rPr>
  </w:style>
  <w:style w:type="paragraph" w:styleId="Sommario3">
    <w:name w:val="toc 3"/>
    <w:basedOn w:val="Normale"/>
    <w:next w:val="Normale"/>
    <w:autoRedefine/>
    <w:uiPriority w:val="39"/>
    <w:semiHidden/>
    <w:unhideWhenUsed/>
    <w:rsid w:val="00A05A8A"/>
    <w:pPr>
      <w:ind w:left="480"/>
    </w:pPr>
    <w:rPr>
      <w:rFonts w:ascii="Baskerville" w:hAnsi="Baskerville" w:cs="Calibri"/>
      <w:sz w:val="20"/>
      <w:szCs w:val="20"/>
    </w:rPr>
  </w:style>
  <w:style w:type="paragraph" w:styleId="Sommario4">
    <w:name w:val="toc 4"/>
    <w:basedOn w:val="Normale"/>
    <w:next w:val="Normale"/>
    <w:autoRedefine/>
    <w:uiPriority w:val="39"/>
    <w:semiHidden/>
    <w:unhideWhenUsed/>
    <w:rsid w:val="00D403E2"/>
    <w:pPr>
      <w:ind w:left="720"/>
    </w:pPr>
    <w:rPr>
      <w:rFonts w:cs="Calibri"/>
      <w:sz w:val="20"/>
      <w:szCs w:val="20"/>
    </w:rPr>
  </w:style>
  <w:style w:type="paragraph" w:styleId="Sommario5">
    <w:name w:val="toc 5"/>
    <w:basedOn w:val="Normale"/>
    <w:next w:val="Normale"/>
    <w:autoRedefine/>
    <w:uiPriority w:val="39"/>
    <w:semiHidden/>
    <w:unhideWhenUsed/>
    <w:rsid w:val="00D403E2"/>
    <w:pPr>
      <w:ind w:left="960"/>
    </w:pPr>
    <w:rPr>
      <w:rFonts w:cs="Calibri"/>
      <w:sz w:val="20"/>
      <w:szCs w:val="20"/>
    </w:rPr>
  </w:style>
  <w:style w:type="paragraph" w:styleId="Sommario6">
    <w:name w:val="toc 6"/>
    <w:basedOn w:val="Normale"/>
    <w:next w:val="Normale"/>
    <w:autoRedefine/>
    <w:uiPriority w:val="39"/>
    <w:semiHidden/>
    <w:unhideWhenUsed/>
    <w:rsid w:val="00D403E2"/>
    <w:pPr>
      <w:ind w:left="1200"/>
    </w:pPr>
    <w:rPr>
      <w:rFonts w:cs="Calibri"/>
      <w:sz w:val="20"/>
      <w:szCs w:val="20"/>
    </w:rPr>
  </w:style>
  <w:style w:type="paragraph" w:styleId="Sommario7">
    <w:name w:val="toc 7"/>
    <w:basedOn w:val="Normale"/>
    <w:next w:val="Normale"/>
    <w:autoRedefine/>
    <w:uiPriority w:val="39"/>
    <w:semiHidden/>
    <w:unhideWhenUsed/>
    <w:rsid w:val="00D403E2"/>
    <w:pPr>
      <w:ind w:left="1440"/>
    </w:pPr>
    <w:rPr>
      <w:rFonts w:cs="Calibri"/>
      <w:sz w:val="20"/>
      <w:szCs w:val="20"/>
    </w:rPr>
  </w:style>
  <w:style w:type="paragraph" w:styleId="Sommario8">
    <w:name w:val="toc 8"/>
    <w:basedOn w:val="Normale"/>
    <w:next w:val="Normale"/>
    <w:autoRedefine/>
    <w:uiPriority w:val="39"/>
    <w:semiHidden/>
    <w:unhideWhenUsed/>
    <w:rsid w:val="00071D38"/>
    <w:pPr>
      <w:ind w:left="1680"/>
    </w:pPr>
    <w:rPr>
      <w:rFonts w:cs="Calibri"/>
      <w:sz w:val="20"/>
      <w:szCs w:val="20"/>
    </w:rPr>
  </w:style>
  <w:style w:type="paragraph" w:styleId="Sommario9">
    <w:name w:val="toc 9"/>
    <w:basedOn w:val="Normale"/>
    <w:next w:val="Normale"/>
    <w:autoRedefine/>
    <w:uiPriority w:val="39"/>
    <w:semiHidden/>
    <w:unhideWhenUsed/>
    <w:rsid w:val="00D403E2"/>
    <w:pPr>
      <w:ind w:left="1920"/>
    </w:pPr>
    <w:rPr>
      <w:rFonts w:cs="Calibri"/>
      <w:sz w:val="20"/>
      <w:szCs w:val="20"/>
    </w:rPr>
  </w:style>
  <w:style w:type="paragraph" w:styleId="Testonotaapidipagina">
    <w:name w:val="footnote text"/>
    <w:aliases w:val="testo pié di pagina Char Char Char Char Char Char Char Char Char Char,Fotnotstext Char,Footnote Text Char Char Char,Footnote Text Char Char,Footnote Text Char Char Char Char Char Char Char,Fußnotentext Char1,Carattere,Char,fn"/>
    <w:basedOn w:val="Normale"/>
    <w:link w:val="TestonotaapidipaginaCarattere"/>
    <w:uiPriority w:val="99"/>
    <w:unhideWhenUsed/>
    <w:qFormat/>
    <w:rsid w:val="00EF3F90"/>
    <w:rPr>
      <w:sz w:val="20"/>
      <w:szCs w:val="20"/>
    </w:rPr>
  </w:style>
  <w:style w:type="character" w:customStyle="1" w:styleId="TestonotaapidipaginaCarattere">
    <w:name w:val="Testo nota a piè di pagina Carattere"/>
    <w:aliases w:val="testo pié di pagina Char Char Char Char Char Char Char Char Char Char Carattere,Fotnotstext Char Carattere,Footnote Text Char Char Char Carattere,Footnote Text Char Char Carattere,Fußnotentext Char1 Carattere"/>
    <w:link w:val="Testonotaapidipagina"/>
    <w:uiPriority w:val="99"/>
    <w:rsid w:val="00EF3F90"/>
    <w:rPr>
      <w:sz w:val="20"/>
      <w:szCs w:val="20"/>
    </w:rPr>
  </w:style>
  <w:style w:type="character" w:styleId="Rimandonotaapidipagina">
    <w:name w:val="footnote reference"/>
    <w:aliases w:val="RSC_WP (footnote reference),*,(Footnote Reference),SUPERS,EN Footnote Reference,Footnote symbol,Footnote,Footnote number,fr,o,Footnotemark,FR,Footnotemark1,Footnotemark2,FR1,Footnotemark3,FR2,Footnotemark4,FR3,Footnotemark5"/>
    <w:uiPriority w:val="99"/>
    <w:unhideWhenUsed/>
    <w:qFormat/>
    <w:rsid w:val="00EF3F90"/>
    <w:rPr>
      <w:vertAlign w:val="superscript"/>
    </w:rPr>
  </w:style>
  <w:style w:type="character" w:customStyle="1" w:styleId="Titolo2Carattere">
    <w:name w:val="Titolo 2 Carattere"/>
    <w:link w:val="Titolo2"/>
    <w:uiPriority w:val="9"/>
    <w:semiHidden/>
    <w:rsid w:val="00E20179"/>
    <w:rPr>
      <w:rFonts w:ascii="Calibri Light" w:eastAsia="Times New Roman" w:hAnsi="Calibri Light" w:cs="Times New Roman"/>
      <w:color w:val="2F5496"/>
      <w:sz w:val="26"/>
      <w:szCs w:val="26"/>
    </w:rPr>
  </w:style>
  <w:style w:type="character" w:styleId="Menzionenonrisolta">
    <w:name w:val="Unresolved Mention"/>
    <w:uiPriority w:val="99"/>
    <w:semiHidden/>
    <w:unhideWhenUsed/>
    <w:rsid w:val="00636554"/>
    <w:rPr>
      <w:color w:val="605E5C"/>
      <w:shd w:val="clear" w:color="auto" w:fill="E1DFDD"/>
    </w:rPr>
  </w:style>
  <w:style w:type="character" w:styleId="Rimandocommento">
    <w:name w:val="annotation reference"/>
    <w:uiPriority w:val="99"/>
    <w:semiHidden/>
    <w:unhideWhenUsed/>
    <w:rsid w:val="00444E8D"/>
    <w:rPr>
      <w:sz w:val="16"/>
      <w:szCs w:val="16"/>
    </w:rPr>
  </w:style>
  <w:style w:type="paragraph" w:styleId="Testocommento">
    <w:name w:val="annotation text"/>
    <w:basedOn w:val="Normale"/>
    <w:link w:val="TestocommentoCarattere"/>
    <w:uiPriority w:val="99"/>
    <w:semiHidden/>
    <w:unhideWhenUsed/>
    <w:rsid w:val="00444E8D"/>
    <w:rPr>
      <w:sz w:val="20"/>
      <w:szCs w:val="20"/>
    </w:rPr>
  </w:style>
  <w:style w:type="character" w:customStyle="1" w:styleId="TestocommentoCarattere">
    <w:name w:val="Testo commento Carattere"/>
    <w:link w:val="Testocommento"/>
    <w:uiPriority w:val="99"/>
    <w:semiHidden/>
    <w:rsid w:val="00444E8D"/>
    <w:rPr>
      <w:sz w:val="20"/>
      <w:szCs w:val="20"/>
    </w:rPr>
  </w:style>
  <w:style w:type="paragraph" w:styleId="Soggettocommento">
    <w:name w:val="annotation subject"/>
    <w:basedOn w:val="Testocommento"/>
    <w:next w:val="Testocommento"/>
    <w:link w:val="SoggettocommentoCarattere"/>
    <w:uiPriority w:val="99"/>
    <w:semiHidden/>
    <w:unhideWhenUsed/>
    <w:rsid w:val="00444E8D"/>
    <w:rPr>
      <w:b/>
      <w:bCs/>
    </w:rPr>
  </w:style>
  <w:style w:type="character" w:customStyle="1" w:styleId="SoggettocommentoCarattere">
    <w:name w:val="Soggetto commento Carattere"/>
    <w:link w:val="Soggettocommento"/>
    <w:uiPriority w:val="99"/>
    <w:semiHidden/>
    <w:rsid w:val="00444E8D"/>
    <w:rPr>
      <w:b/>
      <w:bCs/>
      <w:sz w:val="20"/>
      <w:szCs w:val="20"/>
    </w:rPr>
  </w:style>
  <w:style w:type="character" w:customStyle="1" w:styleId="Titolo9Carattere">
    <w:name w:val="Titolo 9 Carattere"/>
    <w:basedOn w:val="Carpredefinitoparagrafo"/>
    <w:link w:val="Titolo9"/>
    <w:uiPriority w:val="9"/>
    <w:semiHidden/>
    <w:rsid w:val="00F222C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529996">
      <w:bodyDiv w:val="1"/>
      <w:marLeft w:val="0"/>
      <w:marRight w:val="0"/>
      <w:marTop w:val="0"/>
      <w:marBottom w:val="0"/>
      <w:divBdr>
        <w:top w:val="none" w:sz="0" w:space="0" w:color="auto"/>
        <w:left w:val="none" w:sz="0" w:space="0" w:color="auto"/>
        <w:bottom w:val="none" w:sz="0" w:space="0" w:color="auto"/>
        <w:right w:val="none" w:sz="0" w:space="0" w:color="auto"/>
      </w:divBdr>
    </w:div>
    <w:div w:id="510144613">
      <w:bodyDiv w:val="1"/>
      <w:marLeft w:val="0"/>
      <w:marRight w:val="0"/>
      <w:marTop w:val="0"/>
      <w:marBottom w:val="0"/>
      <w:divBdr>
        <w:top w:val="none" w:sz="0" w:space="0" w:color="auto"/>
        <w:left w:val="none" w:sz="0" w:space="0" w:color="auto"/>
        <w:bottom w:val="none" w:sz="0" w:space="0" w:color="auto"/>
        <w:right w:val="none" w:sz="0" w:space="0" w:color="auto"/>
      </w:divBdr>
    </w:div>
    <w:div w:id="765614339">
      <w:bodyDiv w:val="1"/>
      <w:marLeft w:val="0"/>
      <w:marRight w:val="0"/>
      <w:marTop w:val="0"/>
      <w:marBottom w:val="0"/>
      <w:divBdr>
        <w:top w:val="none" w:sz="0" w:space="0" w:color="auto"/>
        <w:left w:val="none" w:sz="0" w:space="0" w:color="auto"/>
        <w:bottom w:val="none" w:sz="0" w:space="0" w:color="auto"/>
        <w:right w:val="none" w:sz="0" w:space="0" w:color="auto"/>
      </w:divBdr>
      <w:divsChild>
        <w:div w:id="1618485321">
          <w:marLeft w:val="0"/>
          <w:marRight w:val="0"/>
          <w:marTop w:val="0"/>
          <w:marBottom w:val="0"/>
          <w:divBdr>
            <w:top w:val="none" w:sz="0" w:space="0" w:color="auto"/>
            <w:left w:val="none" w:sz="0" w:space="0" w:color="auto"/>
            <w:bottom w:val="none" w:sz="0" w:space="0" w:color="auto"/>
            <w:right w:val="none" w:sz="0" w:space="0" w:color="auto"/>
          </w:divBdr>
          <w:divsChild>
            <w:div w:id="1686203038">
              <w:marLeft w:val="0"/>
              <w:marRight w:val="0"/>
              <w:marTop w:val="0"/>
              <w:marBottom w:val="0"/>
              <w:divBdr>
                <w:top w:val="none" w:sz="0" w:space="0" w:color="auto"/>
                <w:left w:val="none" w:sz="0" w:space="0" w:color="auto"/>
                <w:bottom w:val="none" w:sz="0" w:space="0" w:color="auto"/>
                <w:right w:val="none" w:sz="0" w:space="0" w:color="auto"/>
              </w:divBdr>
              <w:divsChild>
                <w:div w:id="100651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532361">
      <w:bodyDiv w:val="1"/>
      <w:marLeft w:val="0"/>
      <w:marRight w:val="0"/>
      <w:marTop w:val="0"/>
      <w:marBottom w:val="0"/>
      <w:divBdr>
        <w:top w:val="none" w:sz="0" w:space="0" w:color="auto"/>
        <w:left w:val="none" w:sz="0" w:space="0" w:color="auto"/>
        <w:bottom w:val="none" w:sz="0" w:space="0" w:color="auto"/>
        <w:right w:val="none" w:sz="0" w:space="0" w:color="auto"/>
      </w:divBdr>
      <w:divsChild>
        <w:div w:id="2132817658">
          <w:marLeft w:val="0"/>
          <w:marRight w:val="0"/>
          <w:marTop w:val="0"/>
          <w:marBottom w:val="0"/>
          <w:divBdr>
            <w:top w:val="none" w:sz="0" w:space="0" w:color="auto"/>
            <w:left w:val="none" w:sz="0" w:space="0" w:color="auto"/>
            <w:bottom w:val="none" w:sz="0" w:space="0" w:color="auto"/>
            <w:right w:val="none" w:sz="0" w:space="0" w:color="auto"/>
          </w:divBdr>
          <w:divsChild>
            <w:div w:id="1546942659">
              <w:marLeft w:val="0"/>
              <w:marRight w:val="0"/>
              <w:marTop w:val="0"/>
              <w:marBottom w:val="0"/>
              <w:divBdr>
                <w:top w:val="none" w:sz="0" w:space="0" w:color="auto"/>
                <w:left w:val="none" w:sz="0" w:space="0" w:color="auto"/>
                <w:bottom w:val="none" w:sz="0" w:space="0" w:color="auto"/>
                <w:right w:val="none" w:sz="0" w:space="0" w:color="auto"/>
              </w:divBdr>
              <w:divsChild>
                <w:div w:id="193162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531">
      <w:bodyDiv w:val="1"/>
      <w:marLeft w:val="0"/>
      <w:marRight w:val="0"/>
      <w:marTop w:val="0"/>
      <w:marBottom w:val="0"/>
      <w:divBdr>
        <w:top w:val="none" w:sz="0" w:space="0" w:color="auto"/>
        <w:left w:val="none" w:sz="0" w:space="0" w:color="auto"/>
        <w:bottom w:val="none" w:sz="0" w:space="0" w:color="auto"/>
        <w:right w:val="none" w:sz="0" w:space="0" w:color="auto"/>
      </w:divBdr>
    </w:div>
    <w:div w:id="1178500388">
      <w:bodyDiv w:val="1"/>
      <w:marLeft w:val="0"/>
      <w:marRight w:val="0"/>
      <w:marTop w:val="0"/>
      <w:marBottom w:val="0"/>
      <w:divBdr>
        <w:top w:val="none" w:sz="0" w:space="0" w:color="auto"/>
        <w:left w:val="none" w:sz="0" w:space="0" w:color="auto"/>
        <w:bottom w:val="none" w:sz="0" w:space="0" w:color="auto"/>
        <w:right w:val="none" w:sz="0" w:space="0" w:color="auto"/>
      </w:divBdr>
      <w:divsChild>
        <w:div w:id="792476488">
          <w:marLeft w:val="0"/>
          <w:marRight w:val="0"/>
          <w:marTop w:val="0"/>
          <w:marBottom w:val="0"/>
          <w:divBdr>
            <w:top w:val="none" w:sz="0" w:space="0" w:color="auto"/>
            <w:left w:val="none" w:sz="0" w:space="0" w:color="auto"/>
            <w:bottom w:val="none" w:sz="0" w:space="0" w:color="auto"/>
            <w:right w:val="none" w:sz="0" w:space="0" w:color="auto"/>
          </w:divBdr>
          <w:divsChild>
            <w:div w:id="1374698254">
              <w:marLeft w:val="0"/>
              <w:marRight w:val="0"/>
              <w:marTop w:val="0"/>
              <w:marBottom w:val="0"/>
              <w:divBdr>
                <w:top w:val="none" w:sz="0" w:space="0" w:color="auto"/>
                <w:left w:val="none" w:sz="0" w:space="0" w:color="auto"/>
                <w:bottom w:val="none" w:sz="0" w:space="0" w:color="auto"/>
                <w:right w:val="none" w:sz="0" w:space="0" w:color="auto"/>
              </w:divBdr>
              <w:divsChild>
                <w:div w:id="121307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57295">
      <w:bodyDiv w:val="1"/>
      <w:marLeft w:val="0"/>
      <w:marRight w:val="0"/>
      <w:marTop w:val="0"/>
      <w:marBottom w:val="0"/>
      <w:divBdr>
        <w:top w:val="none" w:sz="0" w:space="0" w:color="auto"/>
        <w:left w:val="none" w:sz="0" w:space="0" w:color="auto"/>
        <w:bottom w:val="none" w:sz="0" w:space="0" w:color="auto"/>
        <w:right w:val="none" w:sz="0" w:space="0" w:color="auto"/>
      </w:divBdr>
      <w:divsChild>
        <w:div w:id="384573574">
          <w:marLeft w:val="0"/>
          <w:marRight w:val="0"/>
          <w:marTop w:val="0"/>
          <w:marBottom w:val="0"/>
          <w:divBdr>
            <w:top w:val="none" w:sz="0" w:space="0" w:color="auto"/>
            <w:left w:val="none" w:sz="0" w:space="0" w:color="auto"/>
            <w:bottom w:val="none" w:sz="0" w:space="0" w:color="auto"/>
            <w:right w:val="none" w:sz="0" w:space="0" w:color="auto"/>
          </w:divBdr>
          <w:divsChild>
            <w:div w:id="237910608">
              <w:marLeft w:val="0"/>
              <w:marRight w:val="0"/>
              <w:marTop w:val="0"/>
              <w:marBottom w:val="0"/>
              <w:divBdr>
                <w:top w:val="none" w:sz="0" w:space="0" w:color="auto"/>
                <w:left w:val="none" w:sz="0" w:space="0" w:color="auto"/>
                <w:bottom w:val="none" w:sz="0" w:space="0" w:color="auto"/>
                <w:right w:val="none" w:sz="0" w:space="0" w:color="auto"/>
              </w:divBdr>
              <w:divsChild>
                <w:div w:id="92985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86398">
      <w:bodyDiv w:val="1"/>
      <w:marLeft w:val="0"/>
      <w:marRight w:val="0"/>
      <w:marTop w:val="0"/>
      <w:marBottom w:val="0"/>
      <w:divBdr>
        <w:top w:val="none" w:sz="0" w:space="0" w:color="auto"/>
        <w:left w:val="none" w:sz="0" w:space="0" w:color="auto"/>
        <w:bottom w:val="none" w:sz="0" w:space="0" w:color="auto"/>
        <w:right w:val="none" w:sz="0" w:space="0" w:color="auto"/>
      </w:divBdr>
      <w:divsChild>
        <w:div w:id="1565876036">
          <w:marLeft w:val="0"/>
          <w:marRight w:val="0"/>
          <w:marTop w:val="0"/>
          <w:marBottom w:val="0"/>
          <w:divBdr>
            <w:top w:val="none" w:sz="0" w:space="0" w:color="auto"/>
            <w:left w:val="none" w:sz="0" w:space="0" w:color="auto"/>
            <w:bottom w:val="none" w:sz="0" w:space="0" w:color="auto"/>
            <w:right w:val="none" w:sz="0" w:space="0" w:color="auto"/>
          </w:divBdr>
          <w:divsChild>
            <w:div w:id="1288700650">
              <w:marLeft w:val="0"/>
              <w:marRight w:val="0"/>
              <w:marTop w:val="0"/>
              <w:marBottom w:val="0"/>
              <w:divBdr>
                <w:top w:val="none" w:sz="0" w:space="0" w:color="auto"/>
                <w:left w:val="none" w:sz="0" w:space="0" w:color="auto"/>
                <w:bottom w:val="none" w:sz="0" w:space="0" w:color="auto"/>
                <w:right w:val="none" w:sz="0" w:space="0" w:color="auto"/>
              </w:divBdr>
              <w:divsChild>
                <w:div w:id="20682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16297">
      <w:bodyDiv w:val="1"/>
      <w:marLeft w:val="0"/>
      <w:marRight w:val="0"/>
      <w:marTop w:val="0"/>
      <w:marBottom w:val="0"/>
      <w:divBdr>
        <w:top w:val="none" w:sz="0" w:space="0" w:color="auto"/>
        <w:left w:val="none" w:sz="0" w:space="0" w:color="auto"/>
        <w:bottom w:val="none" w:sz="0" w:space="0" w:color="auto"/>
        <w:right w:val="none" w:sz="0" w:space="0" w:color="auto"/>
      </w:divBdr>
    </w:div>
    <w:div w:id="1834367838">
      <w:bodyDiv w:val="1"/>
      <w:marLeft w:val="0"/>
      <w:marRight w:val="0"/>
      <w:marTop w:val="0"/>
      <w:marBottom w:val="0"/>
      <w:divBdr>
        <w:top w:val="none" w:sz="0" w:space="0" w:color="auto"/>
        <w:left w:val="none" w:sz="0" w:space="0" w:color="auto"/>
        <w:bottom w:val="none" w:sz="0" w:space="0" w:color="auto"/>
        <w:right w:val="none" w:sz="0" w:space="0" w:color="auto"/>
      </w:divBdr>
      <w:divsChild>
        <w:div w:id="1242839020">
          <w:marLeft w:val="0"/>
          <w:marRight w:val="0"/>
          <w:marTop w:val="0"/>
          <w:marBottom w:val="0"/>
          <w:divBdr>
            <w:top w:val="none" w:sz="0" w:space="0" w:color="auto"/>
            <w:left w:val="none" w:sz="0" w:space="0" w:color="auto"/>
            <w:bottom w:val="none" w:sz="0" w:space="0" w:color="auto"/>
            <w:right w:val="none" w:sz="0" w:space="0" w:color="auto"/>
          </w:divBdr>
          <w:divsChild>
            <w:div w:id="796946241">
              <w:marLeft w:val="0"/>
              <w:marRight w:val="0"/>
              <w:marTop w:val="0"/>
              <w:marBottom w:val="0"/>
              <w:divBdr>
                <w:top w:val="none" w:sz="0" w:space="0" w:color="auto"/>
                <w:left w:val="none" w:sz="0" w:space="0" w:color="auto"/>
                <w:bottom w:val="none" w:sz="0" w:space="0" w:color="auto"/>
                <w:right w:val="none" w:sz="0" w:space="0" w:color="auto"/>
              </w:divBdr>
              <w:divsChild>
                <w:div w:id="18487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98601">
      <w:bodyDiv w:val="1"/>
      <w:marLeft w:val="0"/>
      <w:marRight w:val="0"/>
      <w:marTop w:val="0"/>
      <w:marBottom w:val="0"/>
      <w:divBdr>
        <w:top w:val="none" w:sz="0" w:space="0" w:color="auto"/>
        <w:left w:val="none" w:sz="0" w:space="0" w:color="auto"/>
        <w:bottom w:val="none" w:sz="0" w:space="0" w:color="auto"/>
        <w:right w:val="none" w:sz="0" w:space="0" w:color="auto"/>
      </w:divBdr>
    </w:div>
    <w:div w:id="214573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www.deiustitia.it" TargetMode="External"/><Relationship Id="rId1" Type="http://schemas.openxmlformats.org/officeDocument/2006/relationships/hyperlink" Target="https://www.deiustiti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udovicamarano/Desktop/De%20Iustitia/Norme%20redazionali%20e%20formato%20articolo/Formato%20articolo%20De%20Iustiti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6CFB1-BE21-E847-855C-7FE951735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Formato articolo De Iustitia.dotx</Template>
  <TotalTime>1</TotalTime>
  <Pages>3</Pages>
  <Words>1385</Words>
  <Characters>7901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9268</CharactersWithSpaces>
  <SharedDoc>false</SharedDoc>
  <HLinks>
    <vt:vector size="24" baseType="variant">
      <vt:variant>
        <vt:i4>1572913</vt:i4>
      </vt:variant>
      <vt:variant>
        <vt:i4>14</vt:i4>
      </vt:variant>
      <vt:variant>
        <vt:i4>0</vt:i4>
      </vt:variant>
      <vt:variant>
        <vt:i4>5</vt:i4>
      </vt:variant>
      <vt:variant>
        <vt:lpwstr/>
      </vt:variant>
      <vt:variant>
        <vt:lpwstr>_Toc236739624</vt:lpwstr>
      </vt:variant>
      <vt:variant>
        <vt:i4>1572913</vt:i4>
      </vt:variant>
      <vt:variant>
        <vt:i4>8</vt:i4>
      </vt:variant>
      <vt:variant>
        <vt:i4>0</vt:i4>
      </vt:variant>
      <vt:variant>
        <vt:i4>5</vt:i4>
      </vt:variant>
      <vt:variant>
        <vt:lpwstr/>
      </vt:variant>
      <vt:variant>
        <vt:lpwstr>_Toc236739623</vt:lpwstr>
      </vt:variant>
      <vt:variant>
        <vt:i4>1572913</vt:i4>
      </vt:variant>
      <vt:variant>
        <vt:i4>2</vt:i4>
      </vt:variant>
      <vt:variant>
        <vt:i4>0</vt:i4>
      </vt:variant>
      <vt:variant>
        <vt:i4>5</vt:i4>
      </vt:variant>
      <vt:variant>
        <vt:lpwstr/>
      </vt:variant>
      <vt:variant>
        <vt:lpwstr>_Toc236739622</vt:lpwstr>
      </vt:variant>
      <vt:variant>
        <vt:i4>8323172</vt:i4>
      </vt:variant>
      <vt:variant>
        <vt:i4>0</vt:i4>
      </vt:variant>
      <vt:variant>
        <vt:i4>0</vt:i4>
      </vt:variant>
      <vt:variant>
        <vt:i4>5</vt:i4>
      </vt:variant>
      <vt:variant>
        <vt:lpwstr>https://www.deiustitia.it/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Ludovica Marano</cp:lastModifiedBy>
  <cp:revision>3</cp:revision>
  <dcterms:created xsi:type="dcterms:W3CDTF">2026-08-04T10:41:00Z</dcterms:created>
  <dcterms:modified xsi:type="dcterms:W3CDTF">2026-08-04T10:43:00Z</dcterms:modified>
</cp:coreProperties>
</file>